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71" w:rsidRPr="008D71F3" w:rsidRDefault="00DA3871">
      <w:pPr>
        <w:tabs>
          <w:tab w:val="center" w:pos="4819"/>
          <w:tab w:val="right" w:pos="9071"/>
        </w:tabs>
        <w:overflowPunct w:val="0"/>
        <w:textAlignment w:val="baseline"/>
        <w:rPr>
          <w:sz w:val="20"/>
          <w:lang w:val="en-GB"/>
        </w:rPr>
      </w:pPr>
    </w:p>
    <w:p w:rsidR="00DA3871" w:rsidRPr="008D71F3" w:rsidRDefault="00DA3871">
      <w:pPr>
        <w:tabs>
          <w:tab w:val="center" w:pos="4819"/>
          <w:tab w:val="right" w:pos="9071"/>
        </w:tabs>
        <w:overflowPunct w:val="0"/>
        <w:textAlignment w:val="baseline"/>
        <w:rPr>
          <w:sz w:val="20"/>
          <w:lang w:val="en-GB"/>
        </w:rPr>
      </w:pPr>
    </w:p>
    <w:p w:rsidR="00DA3871" w:rsidRPr="008D71F3" w:rsidRDefault="008D71F3">
      <w:pPr>
        <w:jc w:val="center"/>
        <w:rPr>
          <w:b/>
          <w:bCs/>
          <w:szCs w:val="24"/>
        </w:rPr>
      </w:pPr>
      <w:r w:rsidRPr="008D71F3">
        <w:rPr>
          <w:b/>
          <w:bCs/>
          <w:noProof/>
          <w:szCs w:val="24"/>
          <w:lang w:eastAsia="lt-LT"/>
        </w:rPr>
        <w:drawing>
          <wp:inline distT="0" distB="0" distL="0" distR="0" wp14:anchorId="61612CFB" wp14:editId="61612CFC">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DA3871" w:rsidRPr="008D71F3" w:rsidRDefault="00DA3871">
      <w:pPr>
        <w:rPr>
          <w:sz w:val="2"/>
          <w:szCs w:val="2"/>
        </w:rPr>
      </w:pPr>
    </w:p>
    <w:p w:rsidR="00DA3871" w:rsidRPr="008D71F3" w:rsidRDefault="00DA3871">
      <w:pPr>
        <w:ind w:firstLine="29"/>
        <w:jc w:val="center"/>
        <w:rPr>
          <w:b/>
          <w:bCs/>
          <w:szCs w:val="24"/>
        </w:rPr>
      </w:pPr>
    </w:p>
    <w:p w:rsidR="00DA3871" w:rsidRPr="008D71F3" w:rsidRDefault="00DA3871">
      <w:pPr>
        <w:rPr>
          <w:sz w:val="2"/>
          <w:szCs w:val="2"/>
        </w:rPr>
      </w:pPr>
    </w:p>
    <w:p w:rsidR="00DA3871" w:rsidRPr="008D71F3" w:rsidRDefault="008D71F3">
      <w:pPr>
        <w:jc w:val="center"/>
        <w:rPr>
          <w:sz w:val="28"/>
          <w:szCs w:val="24"/>
        </w:rPr>
      </w:pPr>
      <w:r w:rsidRPr="008D71F3">
        <w:rPr>
          <w:b/>
          <w:bCs/>
          <w:sz w:val="28"/>
          <w:szCs w:val="24"/>
        </w:rPr>
        <w:t>LIETUVOS RESPUBLIKOS ŠVIETIMO, MOKSLO IR SPORTO MINISTRAS</w:t>
      </w:r>
    </w:p>
    <w:p w:rsidR="00DA3871" w:rsidRPr="008D71F3" w:rsidRDefault="00DA3871">
      <w:pPr>
        <w:rPr>
          <w:sz w:val="2"/>
          <w:szCs w:val="2"/>
        </w:rPr>
      </w:pPr>
    </w:p>
    <w:p w:rsidR="00DA3871" w:rsidRPr="008D71F3" w:rsidRDefault="00DA3871">
      <w:pPr>
        <w:overflowPunct w:val="0"/>
        <w:jc w:val="center"/>
        <w:textAlignment w:val="baseline"/>
      </w:pPr>
    </w:p>
    <w:p w:rsidR="00DA3871" w:rsidRPr="008D71F3" w:rsidRDefault="00DA3871">
      <w:pPr>
        <w:rPr>
          <w:sz w:val="2"/>
          <w:szCs w:val="2"/>
        </w:rPr>
      </w:pPr>
    </w:p>
    <w:p w:rsidR="00DA3871" w:rsidRPr="008D71F3" w:rsidRDefault="008D71F3">
      <w:pPr>
        <w:overflowPunct w:val="0"/>
        <w:jc w:val="center"/>
        <w:textAlignment w:val="baseline"/>
        <w:rPr>
          <w:b/>
          <w:bCs/>
        </w:rPr>
      </w:pPr>
      <w:r w:rsidRPr="008D71F3">
        <w:rPr>
          <w:b/>
          <w:bCs/>
        </w:rPr>
        <w:t>ĮSAKYMAS</w:t>
      </w:r>
    </w:p>
    <w:p w:rsidR="00DA3871" w:rsidRPr="008D71F3" w:rsidRDefault="00DA3871">
      <w:pPr>
        <w:rPr>
          <w:sz w:val="2"/>
          <w:szCs w:val="2"/>
        </w:rPr>
      </w:pPr>
    </w:p>
    <w:p w:rsidR="00DA3871" w:rsidRPr="008D71F3" w:rsidRDefault="008D71F3">
      <w:pPr>
        <w:overflowPunct w:val="0"/>
        <w:jc w:val="center"/>
        <w:textAlignment w:val="baseline"/>
        <w:rPr>
          <w:b/>
          <w:bCs/>
          <w:caps/>
          <w:szCs w:val="24"/>
        </w:rPr>
      </w:pPr>
      <w:r w:rsidRPr="008D71F3">
        <w:rPr>
          <w:b/>
          <w:bCs/>
          <w:szCs w:val="24"/>
        </w:rPr>
        <w:t xml:space="preserve">DĖL </w:t>
      </w:r>
      <w:r w:rsidRPr="008D71F3">
        <w:rPr>
          <w:b/>
          <w:bCs/>
          <w:caps/>
          <w:color w:val="000000"/>
          <w:szCs w:val="24"/>
        </w:rPr>
        <w:t xml:space="preserve">INFORMACIJOS, KURIOS REIKIA PROFESINIO MOKYMO LĖŠOMS APSKAIČIUOTI, TEIKIMO </w:t>
      </w:r>
      <w:r w:rsidRPr="008D71F3">
        <w:rPr>
          <w:b/>
          <w:szCs w:val="24"/>
        </w:rPr>
        <w:t xml:space="preserve">NACIONALINEI ŠVIETIMO AGENTŪRAI </w:t>
      </w:r>
      <w:r w:rsidRPr="008D71F3">
        <w:rPr>
          <w:b/>
          <w:bCs/>
          <w:caps/>
          <w:color w:val="000000"/>
          <w:szCs w:val="24"/>
        </w:rPr>
        <w:t>TVARKOS APRAŠO PATVIRTINIMO</w:t>
      </w:r>
    </w:p>
    <w:p w:rsidR="00DA3871" w:rsidRPr="008D71F3" w:rsidRDefault="00DA3871">
      <w:pPr>
        <w:overflowPunct w:val="0"/>
        <w:jc w:val="center"/>
        <w:textAlignment w:val="baseline"/>
      </w:pPr>
    </w:p>
    <w:p w:rsidR="00DA3871" w:rsidRPr="008D71F3" w:rsidRDefault="00DA3871">
      <w:pPr>
        <w:rPr>
          <w:sz w:val="2"/>
          <w:szCs w:val="2"/>
        </w:rPr>
      </w:pPr>
    </w:p>
    <w:p w:rsidR="00DA3871" w:rsidRPr="008D71F3" w:rsidRDefault="008D71F3">
      <w:pPr>
        <w:keepNext/>
        <w:tabs>
          <w:tab w:val="left" w:pos="4927"/>
        </w:tabs>
        <w:overflowPunct w:val="0"/>
        <w:jc w:val="center"/>
        <w:textAlignment w:val="baseline"/>
        <w:outlineLvl w:val="2"/>
      </w:pPr>
      <w:r w:rsidRPr="008D71F3">
        <w:t>2019 m. rugpjūčio 30 d. Nr. V-970</w:t>
      </w:r>
    </w:p>
    <w:p w:rsidR="00DA3871" w:rsidRPr="008D71F3" w:rsidRDefault="008D71F3">
      <w:pPr>
        <w:overflowPunct w:val="0"/>
        <w:jc w:val="center"/>
        <w:textAlignment w:val="baseline"/>
        <w:rPr>
          <w:szCs w:val="24"/>
        </w:rPr>
      </w:pPr>
      <w:smartTag w:uri="urn:schemas-tilde-lv/tildestengine" w:element="firmas">
        <w:r w:rsidRPr="008D71F3">
          <w:rPr>
            <w:szCs w:val="24"/>
          </w:rPr>
          <w:t>Vilnius</w:t>
        </w:r>
      </w:smartTag>
    </w:p>
    <w:p w:rsidR="00DA3871" w:rsidRPr="008D71F3" w:rsidRDefault="00DA3871">
      <w:pPr>
        <w:overflowPunct w:val="0"/>
        <w:jc w:val="center"/>
        <w:textAlignment w:val="baseline"/>
        <w:rPr>
          <w:szCs w:val="24"/>
        </w:rPr>
      </w:pPr>
    </w:p>
    <w:p w:rsidR="00DA3871" w:rsidRPr="008D71F3" w:rsidRDefault="00DA3871">
      <w:pPr>
        <w:overflowPunct w:val="0"/>
        <w:jc w:val="center"/>
        <w:textAlignment w:val="baseline"/>
        <w:rPr>
          <w:szCs w:val="24"/>
        </w:rPr>
      </w:pPr>
    </w:p>
    <w:p w:rsidR="00DA3871" w:rsidRPr="008D71F3" w:rsidRDefault="00DA3871">
      <w:pPr>
        <w:rPr>
          <w:sz w:val="2"/>
          <w:szCs w:val="2"/>
        </w:rPr>
      </w:pPr>
    </w:p>
    <w:p w:rsidR="00DA3871" w:rsidRPr="008D71F3" w:rsidRDefault="008D71F3">
      <w:pPr>
        <w:overflowPunct w:val="0"/>
        <w:spacing w:line="276" w:lineRule="auto"/>
        <w:ind w:firstLine="709"/>
        <w:jc w:val="both"/>
        <w:textAlignment w:val="baseline"/>
        <w:rPr>
          <w:sz w:val="20"/>
        </w:rPr>
      </w:pPr>
      <w:r w:rsidRPr="008D71F3">
        <w:rPr>
          <w:szCs w:val="24"/>
        </w:rPr>
        <w:t>Siekdamas įgyvendinti Lietuvos Respublikos profesinio mokymo įstatymo 36 straipsnio 5 dalį ir atsižvelgdamas į Nacionalinės švietimo agentūros nuostatų, patvirtintų Lietuvos Respublikos švietimo, mokslo ir sporto ministro 2019 m. liepos 24 d.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11.25 papunktį:</w:t>
      </w:r>
    </w:p>
    <w:p w:rsidR="00DA3871" w:rsidRPr="008D71F3" w:rsidRDefault="008D71F3">
      <w:pPr>
        <w:overflowPunct w:val="0"/>
        <w:spacing w:line="276" w:lineRule="auto"/>
        <w:ind w:firstLine="709"/>
        <w:jc w:val="both"/>
        <w:textAlignment w:val="baseline"/>
        <w:rPr>
          <w:szCs w:val="24"/>
        </w:rPr>
      </w:pPr>
      <w:r w:rsidRPr="008D71F3">
        <w:rPr>
          <w:szCs w:val="24"/>
        </w:rPr>
        <w:t>1. T v i r t i n u Informacijos, kurios reikia profesinio mokymo lėšoms apskaičiuoti, teikimo Nacionalinei švietimo agentūrai tvarkos aprašą (pridedama).</w:t>
      </w:r>
    </w:p>
    <w:p w:rsidR="00DA3871" w:rsidRPr="008D71F3" w:rsidRDefault="008D71F3">
      <w:pPr>
        <w:overflowPunct w:val="0"/>
        <w:spacing w:line="276" w:lineRule="auto"/>
        <w:ind w:firstLine="709"/>
        <w:jc w:val="both"/>
        <w:textAlignment w:val="baseline"/>
        <w:rPr>
          <w:szCs w:val="24"/>
        </w:rPr>
      </w:pPr>
      <w:r w:rsidRPr="008D71F3">
        <w:rPr>
          <w:szCs w:val="24"/>
        </w:rPr>
        <w:t>2. Šis įsakymas įsigalioja 2019 m. rugsėjo 1 dieną.</w:t>
      </w:r>
    </w:p>
    <w:p w:rsidR="00DA3871" w:rsidRPr="008D71F3" w:rsidRDefault="00DA3871">
      <w:pPr>
        <w:overflowPunct w:val="0"/>
        <w:jc w:val="both"/>
        <w:textAlignment w:val="baseline"/>
      </w:pPr>
    </w:p>
    <w:p w:rsidR="00DA3871" w:rsidRPr="008D71F3" w:rsidRDefault="00DA3871">
      <w:pPr>
        <w:overflowPunct w:val="0"/>
        <w:jc w:val="both"/>
        <w:textAlignment w:val="baseline"/>
      </w:pPr>
    </w:p>
    <w:p w:rsidR="00DA3871" w:rsidRPr="008D71F3" w:rsidRDefault="00DA3871">
      <w:pPr>
        <w:overflowPunct w:val="0"/>
        <w:jc w:val="both"/>
        <w:textAlignment w:val="baseline"/>
      </w:pPr>
    </w:p>
    <w:p w:rsidR="00DA3871" w:rsidRPr="008D71F3" w:rsidRDefault="00DA3871">
      <w:pPr>
        <w:rPr>
          <w:sz w:val="2"/>
          <w:szCs w:val="2"/>
        </w:rPr>
      </w:pPr>
    </w:p>
    <w:p w:rsidR="00DA3871" w:rsidRPr="008D71F3" w:rsidRDefault="008D71F3">
      <w:pPr>
        <w:tabs>
          <w:tab w:val="left" w:pos="6804"/>
        </w:tabs>
        <w:overflowPunct w:val="0"/>
        <w:textAlignment w:val="baseline"/>
      </w:pPr>
      <w:r w:rsidRPr="008D71F3">
        <w:t>Švietimo, mokslo ir sporto ministras</w:t>
      </w:r>
      <w:r w:rsidRPr="008D71F3">
        <w:tab/>
        <w:t>Algirdas Monkevičius</w:t>
      </w:r>
    </w:p>
    <w:p w:rsidR="00DA3871" w:rsidRPr="008D71F3" w:rsidRDefault="00DA3871">
      <w:pPr>
        <w:rPr>
          <w:sz w:val="2"/>
          <w:szCs w:val="2"/>
        </w:rPr>
      </w:pPr>
    </w:p>
    <w:p w:rsidR="00DA3871" w:rsidRPr="008D71F3" w:rsidRDefault="00DA3871">
      <w:pPr>
        <w:tabs>
          <w:tab w:val="center" w:pos="4819"/>
          <w:tab w:val="right" w:pos="9071"/>
        </w:tabs>
        <w:overflowPunct w:val="0"/>
        <w:textAlignment w:val="baseline"/>
        <w:rPr>
          <w:sz w:val="20"/>
          <w:lang w:val="en-GB"/>
        </w:rPr>
      </w:pPr>
    </w:p>
    <w:p w:rsidR="008D71F3" w:rsidRDefault="008D71F3">
      <w:pPr>
        <w:keepLines/>
        <w:tabs>
          <w:tab w:val="left" w:pos="1304"/>
          <w:tab w:val="left" w:pos="1457"/>
          <w:tab w:val="left" w:pos="1604"/>
          <w:tab w:val="left" w:pos="1757"/>
        </w:tabs>
        <w:suppressAutoHyphens/>
        <w:overflowPunct w:val="0"/>
        <w:spacing w:line="283" w:lineRule="auto"/>
        <w:ind w:left="5670"/>
        <w:textAlignment w:val="center"/>
        <w:sectPr w:rsidR="008D71F3">
          <w:headerReference w:type="even" r:id="rId11"/>
          <w:headerReference w:type="default" r:id="rId12"/>
          <w:footerReference w:type="even" r:id="rId13"/>
          <w:footerReference w:type="default" r:id="rId14"/>
          <w:headerReference w:type="first" r:id="rId15"/>
          <w:footerReference w:type="first" r:id="rId16"/>
          <w:pgSz w:w="11907" w:h="16840" w:code="9"/>
          <w:pgMar w:top="1138" w:right="850" w:bottom="1238" w:left="1418" w:header="288" w:footer="720" w:gutter="0"/>
          <w:pgNumType w:start="1"/>
          <w:cols w:space="720"/>
          <w:noEndnote/>
          <w:titlePg/>
        </w:sectPr>
      </w:pPr>
    </w:p>
    <w:p w:rsidR="00DA3871" w:rsidRPr="008D71F3" w:rsidRDefault="008D71F3">
      <w:pPr>
        <w:keepLines/>
        <w:tabs>
          <w:tab w:val="left" w:pos="1304"/>
          <w:tab w:val="left" w:pos="1457"/>
          <w:tab w:val="left" w:pos="1604"/>
          <w:tab w:val="left" w:pos="1757"/>
        </w:tabs>
        <w:suppressAutoHyphens/>
        <w:overflowPunct w:val="0"/>
        <w:spacing w:line="283" w:lineRule="auto"/>
        <w:ind w:left="5670"/>
        <w:textAlignment w:val="center"/>
        <w:rPr>
          <w:szCs w:val="24"/>
        </w:rPr>
      </w:pPr>
      <w:r w:rsidRPr="008D71F3">
        <w:rPr>
          <w:szCs w:val="24"/>
        </w:rPr>
        <w:t>PATVIRTINTA</w:t>
      </w:r>
    </w:p>
    <w:p w:rsidR="00DA3871" w:rsidRPr="008D71F3" w:rsidRDefault="008D71F3">
      <w:pPr>
        <w:keepLines/>
        <w:tabs>
          <w:tab w:val="left" w:pos="1304"/>
          <w:tab w:val="left" w:pos="1457"/>
          <w:tab w:val="left" w:pos="1604"/>
          <w:tab w:val="left" w:pos="1757"/>
        </w:tabs>
        <w:suppressAutoHyphens/>
        <w:overflowPunct w:val="0"/>
        <w:spacing w:line="283" w:lineRule="auto"/>
        <w:ind w:left="5670"/>
        <w:textAlignment w:val="center"/>
        <w:rPr>
          <w:spacing w:val="-4"/>
          <w:szCs w:val="24"/>
        </w:rPr>
      </w:pPr>
      <w:r w:rsidRPr="008D71F3">
        <w:rPr>
          <w:spacing w:val="-4"/>
          <w:szCs w:val="24"/>
        </w:rPr>
        <w:t xml:space="preserve">Lietuvos Respublikos švietimo, mokslo ir </w:t>
      </w:r>
    </w:p>
    <w:p w:rsidR="00DA3871" w:rsidRPr="008D71F3" w:rsidRDefault="008D71F3">
      <w:pPr>
        <w:keepLines/>
        <w:tabs>
          <w:tab w:val="left" w:pos="1304"/>
          <w:tab w:val="left" w:pos="1457"/>
          <w:tab w:val="left" w:pos="1604"/>
          <w:tab w:val="left" w:pos="1757"/>
        </w:tabs>
        <w:suppressAutoHyphens/>
        <w:overflowPunct w:val="0"/>
        <w:spacing w:line="283" w:lineRule="auto"/>
        <w:ind w:left="5670"/>
        <w:textAlignment w:val="center"/>
        <w:rPr>
          <w:szCs w:val="24"/>
        </w:rPr>
      </w:pPr>
      <w:r w:rsidRPr="008D71F3">
        <w:rPr>
          <w:spacing w:val="-4"/>
          <w:szCs w:val="24"/>
        </w:rPr>
        <w:t>sporto ministro</w:t>
      </w:r>
      <w:r w:rsidRPr="008D71F3">
        <w:rPr>
          <w:szCs w:val="24"/>
        </w:rPr>
        <w:t xml:space="preserve"> 2019</w:t>
      </w:r>
      <w:r w:rsidRPr="008D71F3">
        <w:rPr>
          <w:b/>
          <w:szCs w:val="24"/>
        </w:rPr>
        <w:t xml:space="preserve"> </w:t>
      </w:r>
      <w:r w:rsidRPr="008D71F3">
        <w:rPr>
          <w:szCs w:val="24"/>
        </w:rPr>
        <w:t xml:space="preserve">m. rugpjūčio 30 d. </w:t>
      </w:r>
    </w:p>
    <w:p w:rsidR="00DA3871" w:rsidRPr="008D71F3" w:rsidRDefault="008D71F3">
      <w:pPr>
        <w:keepLines/>
        <w:tabs>
          <w:tab w:val="left" w:pos="1304"/>
          <w:tab w:val="left" w:pos="1457"/>
          <w:tab w:val="left" w:pos="1604"/>
          <w:tab w:val="left" w:pos="1757"/>
        </w:tabs>
        <w:suppressAutoHyphens/>
        <w:overflowPunct w:val="0"/>
        <w:spacing w:line="283" w:lineRule="auto"/>
        <w:ind w:left="5670"/>
        <w:textAlignment w:val="center"/>
        <w:rPr>
          <w:szCs w:val="24"/>
        </w:rPr>
      </w:pPr>
      <w:r w:rsidRPr="008D71F3">
        <w:rPr>
          <w:szCs w:val="24"/>
        </w:rPr>
        <w:t>įsakymu Nr. V-970</w:t>
      </w:r>
    </w:p>
    <w:p w:rsidR="00DA3871" w:rsidRPr="008D71F3" w:rsidRDefault="00DA3871">
      <w:pPr>
        <w:suppressAutoHyphens/>
        <w:overflowPunct w:val="0"/>
        <w:spacing w:line="283" w:lineRule="auto"/>
        <w:ind w:firstLine="312"/>
        <w:jc w:val="both"/>
        <w:textAlignment w:val="center"/>
        <w:rPr>
          <w:szCs w:val="24"/>
        </w:rPr>
      </w:pPr>
    </w:p>
    <w:p w:rsidR="00DA3871" w:rsidRPr="008D71F3" w:rsidRDefault="008D71F3">
      <w:pPr>
        <w:keepLines/>
        <w:suppressAutoHyphens/>
        <w:overflowPunct w:val="0"/>
        <w:spacing w:line="283" w:lineRule="auto"/>
        <w:jc w:val="center"/>
        <w:textAlignment w:val="center"/>
        <w:rPr>
          <w:b/>
          <w:bCs/>
          <w:caps/>
          <w:szCs w:val="24"/>
        </w:rPr>
      </w:pPr>
      <w:r w:rsidRPr="008D71F3">
        <w:rPr>
          <w:b/>
          <w:bCs/>
          <w:caps/>
          <w:szCs w:val="24"/>
        </w:rPr>
        <w:t xml:space="preserve">INFORMACIJOS, KURIOS REIKIA PROFESINIO MOKYMO LĖŠOMS APSKAIČIUOTI, TEIKIMO </w:t>
      </w:r>
      <w:r w:rsidRPr="008D71F3">
        <w:rPr>
          <w:b/>
          <w:szCs w:val="24"/>
        </w:rPr>
        <w:t xml:space="preserve">NACIONALINEI ŠVIETIMO AGENTŪRAI </w:t>
      </w:r>
      <w:r w:rsidRPr="008D71F3">
        <w:rPr>
          <w:b/>
          <w:bCs/>
          <w:caps/>
          <w:szCs w:val="24"/>
        </w:rPr>
        <w:t>TVARKOS APRAŠAS</w:t>
      </w:r>
    </w:p>
    <w:p w:rsidR="00DA3871" w:rsidRPr="008D71F3" w:rsidRDefault="00DA3871">
      <w:pPr>
        <w:suppressAutoHyphens/>
        <w:overflowPunct w:val="0"/>
        <w:spacing w:line="283" w:lineRule="auto"/>
        <w:ind w:firstLine="312"/>
        <w:jc w:val="both"/>
        <w:textAlignment w:val="center"/>
        <w:rPr>
          <w:szCs w:val="24"/>
        </w:rPr>
      </w:pPr>
    </w:p>
    <w:p w:rsidR="00DA3871" w:rsidRPr="008D71F3" w:rsidRDefault="008D71F3">
      <w:pPr>
        <w:suppressAutoHyphens/>
        <w:overflowPunct w:val="0"/>
        <w:spacing w:line="283" w:lineRule="auto"/>
        <w:ind w:firstLine="709"/>
        <w:jc w:val="both"/>
        <w:textAlignment w:val="center"/>
        <w:rPr>
          <w:szCs w:val="24"/>
        </w:rPr>
      </w:pPr>
      <w:r w:rsidRPr="008D71F3">
        <w:rPr>
          <w:szCs w:val="24"/>
        </w:rPr>
        <w:t xml:space="preserve">1. Informacijos, kurios reikia profesinio mokymo lėšoms apskaičiuoti, teikimo Nacionalinei švietimo agentūrai tvarkos aprašas (toliau – Aprašas) nustato informacijos, kurios reikia formaliojo profesinio mokymo lėšoms, skiriamoms valstybiniams, savivaldybių ir nevalstybiniams profesinio mokymo teikėjams (toliau – profesinio mokymo teikėjai) iš Švietimo, mokslo ir sporto ministerijai patvirtintų valstybės biudžeto asignavimų (toliau – profesinio mokymo lėšos), apskaičiuoti (toliau – informacija), teikimo Nacionalinei švietimo agentūrai (toliau – NŠA) tvarką ir terminus. Jis taikomas, apskaičiuojant profesinio mokymo lėšas, skiriamas mokinių, besimokančių pagal formaliojo profesinio mokymo programą arba jos dalį, išskyrus </w:t>
      </w:r>
      <w:r w:rsidRPr="008D71F3">
        <w:rPr>
          <w:szCs w:val="24"/>
          <w:shd w:val="clear" w:color="auto" w:fill="FFFFFF"/>
        </w:rPr>
        <w:t>pataisos pareigūnų profesinio mokymo įstaigų ir vidaus reikalų profesinio mokymo įstaigų vykdomas programas</w:t>
      </w:r>
      <w:r w:rsidRPr="008D71F3">
        <w:rPr>
          <w:szCs w:val="24"/>
        </w:rPr>
        <w:t>, valstybės finansuojamose vietose (toliau – mokiniai), profesiniam mokymui, kai mokiniai yra priimti mokytis pagal švietimo, mokslo ir sporto ministro tvirtinamą asmenų, išskyrus asmenis, kuriems taikomas Lietuvos Respublikos užimtumo rėmimo įstatymas, Lietuvos Respublikos neįgaliųjų socialinės integracijos įstatymas ar Lietuvos Respublikos vidaus tarnybos statutas, pageidaujančių įgyti kvalifikaciją, priėmimo į valstybės finansuojamas profesinio mokymo vietas planą.</w:t>
      </w:r>
    </w:p>
    <w:p w:rsidR="00DA3871" w:rsidRPr="008D71F3" w:rsidRDefault="008D71F3">
      <w:pPr>
        <w:suppressAutoHyphens/>
        <w:overflowPunct w:val="0"/>
        <w:spacing w:line="283" w:lineRule="auto"/>
        <w:ind w:firstLine="709"/>
        <w:jc w:val="both"/>
        <w:textAlignment w:val="center"/>
        <w:rPr>
          <w:szCs w:val="24"/>
        </w:rPr>
      </w:pPr>
      <w:r w:rsidRPr="008D71F3">
        <w:rPr>
          <w:szCs w:val="24"/>
        </w:rPr>
        <w:t>2. Apraše vartojamos sąvokos atitinka Lietuvos Respublikos profesinio mokymo įstatyme, Lietuvos Respublikos švietimo įstatyme vartojamas sąvokas.</w:t>
      </w:r>
    </w:p>
    <w:p w:rsidR="00DA3871" w:rsidRPr="008D71F3" w:rsidRDefault="008D71F3">
      <w:pPr>
        <w:suppressAutoHyphens/>
        <w:overflowPunct w:val="0"/>
        <w:spacing w:line="283" w:lineRule="auto"/>
        <w:ind w:firstLine="709"/>
        <w:jc w:val="both"/>
        <w:textAlignment w:val="center"/>
        <w:rPr>
          <w:color w:val="000000"/>
          <w:szCs w:val="24"/>
        </w:rPr>
      </w:pPr>
      <w:r w:rsidRPr="008D71F3">
        <w:rPr>
          <w:color w:val="000000"/>
          <w:szCs w:val="24"/>
        </w:rPr>
        <w:t>3. Profesinio mokymo teikėjai suveda į Mokinių registrą informaciją apie mokinius rugsėjo 1 dienai (sausio 1 dienai, jei dėl papildomo priėmimo ar kitų aplinkybių informacija keičiasi).</w:t>
      </w:r>
    </w:p>
    <w:p w:rsidR="00DA3871" w:rsidRPr="008D71F3" w:rsidRDefault="008D71F3">
      <w:pPr>
        <w:suppressAutoHyphens/>
        <w:overflowPunct w:val="0"/>
        <w:spacing w:line="283" w:lineRule="auto"/>
        <w:ind w:firstLine="709"/>
        <w:jc w:val="both"/>
        <w:textAlignment w:val="center"/>
        <w:rPr>
          <w:color w:val="000000"/>
          <w:szCs w:val="24"/>
        </w:rPr>
      </w:pPr>
      <w:r w:rsidRPr="008D71F3">
        <w:rPr>
          <w:color w:val="000000"/>
          <w:szCs w:val="24"/>
        </w:rPr>
        <w:t>4. Profesinio mokymo teikėjai ne vėliau kaip iki einamųjų metų rugsėjo 10 dienos (sausio 10 dienos) Švietimo valdymo informacinėje sistemoje suformuoja ataskaitą pagal Aprašo priedą ir ją patvirtina (skiltyje „Viešieji aplankai“ pasirenkamas aplankas „Institucijos ataskaitos“ – „Bazinės profesinio mokymo lėšos“ ir, spaudžiant nuorodą „Profesinio mokymo lėšų ataskaita“, suformuojama ataskaita, kuri patvirtinama suformuotoje ataskaitoje paspaudžiant nuorodą „Tvirtinti“).</w:t>
      </w:r>
    </w:p>
    <w:p w:rsidR="00DA3871" w:rsidRPr="008D71F3" w:rsidRDefault="008D71F3">
      <w:pPr>
        <w:suppressAutoHyphens/>
        <w:overflowPunct w:val="0"/>
        <w:spacing w:line="283" w:lineRule="auto"/>
        <w:ind w:firstLine="709"/>
        <w:jc w:val="both"/>
        <w:textAlignment w:val="center"/>
        <w:rPr>
          <w:color w:val="000000"/>
          <w:szCs w:val="24"/>
        </w:rPr>
      </w:pPr>
      <w:r w:rsidRPr="008D71F3">
        <w:rPr>
          <w:color w:val="000000"/>
          <w:szCs w:val="24"/>
        </w:rPr>
        <w:t xml:space="preserve">5. Švietimo, mokslo ir sporto ministerija gali prašyti profesinio mokymo teikėjų Švietimo valdymo informacinėje sistemoje suformuoti ataskaitas pagal Aprašo priedą ir jas patvirtinti ankstesniais terminais, nei nustatyta Aprašo 4 punkte. </w:t>
      </w:r>
    </w:p>
    <w:p w:rsidR="00DA3871" w:rsidRPr="008D71F3" w:rsidRDefault="008D71F3">
      <w:pPr>
        <w:suppressAutoHyphens/>
        <w:overflowPunct w:val="0"/>
        <w:spacing w:line="283" w:lineRule="auto"/>
        <w:ind w:firstLine="709"/>
        <w:jc w:val="both"/>
        <w:textAlignment w:val="center"/>
        <w:rPr>
          <w:color w:val="000000"/>
          <w:szCs w:val="24"/>
        </w:rPr>
      </w:pPr>
      <w:r w:rsidRPr="008D71F3">
        <w:rPr>
          <w:color w:val="000000"/>
          <w:szCs w:val="24"/>
        </w:rPr>
        <w:t>6. Profesinio mokymo teikėjų vadovai ar jų įgalioti asmenys ne vėliau kaip iki einamųjų metų rugsėjo 10 dienos 16 val. (sausio 10 dienos 16 val.) patikrina Mokinių registre ir Švietimo valdymo informacinėje sistemoje pateiktą informaciją ir suformuoja suvestines profesinio mokymo teikėjų ataskaitas (skiltyje „Viešieji aplankai“ pasirenkamas aplankas „Institucijos ataskaitos“, jame – aplankas „Profesinio mokymo duomenys“ ir spaudžiama nuoroda „Profesinio mokymo lėšų ataskaita“).</w:t>
      </w:r>
    </w:p>
    <w:p w:rsidR="00DA3871" w:rsidRPr="008D71F3" w:rsidRDefault="008D71F3">
      <w:pPr>
        <w:suppressAutoHyphens/>
        <w:overflowPunct w:val="0"/>
        <w:spacing w:line="283" w:lineRule="auto"/>
        <w:ind w:firstLine="709"/>
        <w:jc w:val="both"/>
        <w:textAlignment w:val="center"/>
        <w:rPr>
          <w:szCs w:val="24"/>
        </w:rPr>
      </w:pPr>
      <w:r w:rsidRPr="008D71F3">
        <w:rPr>
          <w:color w:val="000000"/>
          <w:kern w:val="24"/>
          <w:szCs w:val="24"/>
          <w:lang w:eastAsia="lt-LT"/>
        </w:rPr>
        <w:t xml:space="preserve">7. </w:t>
      </w:r>
      <w:r w:rsidRPr="008D71F3">
        <w:rPr>
          <w:color w:val="000000"/>
          <w:szCs w:val="24"/>
        </w:rPr>
        <w:t xml:space="preserve">Profesinio mokymo teikėjų </w:t>
      </w:r>
      <w:r w:rsidRPr="008D71F3">
        <w:rPr>
          <w:color w:val="000000"/>
          <w:kern w:val="24"/>
          <w:szCs w:val="24"/>
          <w:lang w:eastAsia="lt-LT"/>
        </w:rPr>
        <w:t xml:space="preserve">vadovai suvestines ataskaitas </w:t>
      </w:r>
      <w:r w:rsidRPr="008D71F3">
        <w:rPr>
          <w:color w:val="000000"/>
          <w:szCs w:val="24"/>
        </w:rPr>
        <w:t xml:space="preserve">patvirtina parašu ir skenuotus dokumentus pateikia NŠA elektroniniu paštu </w:t>
      </w:r>
      <w:proofErr w:type="spellStart"/>
      <w:r w:rsidRPr="008D71F3">
        <w:rPr>
          <w:szCs w:val="24"/>
        </w:rPr>
        <w:t>pmlesos@ipc.lt</w:t>
      </w:r>
      <w:proofErr w:type="spellEnd"/>
      <w:r w:rsidRPr="008D71F3">
        <w:rPr>
          <w:szCs w:val="24"/>
        </w:rPr>
        <w:t xml:space="preserve"> ne vėliau kaip iki einamųjų metų rugsėjo 12 dienos (sausio 12 dienos). </w:t>
      </w:r>
    </w:p>
    <w:p w:rsidR="00DA3871" w:rsidRPr="008D71F3" w:rsidRDefault="008D71F3">
      <w:pPr>
        <w:suppressAutoHyphens/>
        <w:overflowPunct w:val="0"/>
        <w:spacing w:line="283" w:lineRule="auto"/>
        <w:ind w:firstLine="709"/>
        <w:jc w:val="both"/>
        <w:textAlignment w:val="center"/>
        <w:rPr>
          <w:szCs w:val="24"/>
        </w:rPr>
      </w:pPr>
      <w:r w:rsidRPr="008D71F3">
        <w:rPr>
          <w:szCs w:val="24"/>
        </w:rPr>
        <w:t>8. Jei Mokinių registre pastebima netikslumų, jie taisomi laikantis šių nuostatų:</w:t>
      </w:r>
    </w:p>
    <w:p w:rsidR="00DA3871" w:rsidRPr="008D71F3" w:rsidRDefault="008D71F3">
      <w:pPr>
        <w:suppressAutoHyphens/>
        <w:overflowPunct w:val="0"/>
        <w:spacing w:line="283" w:lineRule="auto"/>
        <w:ind w:firstLine="709"/>
        <w:jc w:val="both"/>
        <w:textAlignment w:val="center"/>
        <w:rPr>
          <w:szCs w:val="24"/>
        </w:rPr>
      </w:pPr>
      <w:r w:rsidRPr="008D71F3">
        <w:rPr>
          <w:szCs w:val="24"/>
        </w:rPr>
        <w:t xml:space="preserve">8.1. NŠA, Mokinių registre pastebėjusi netikslumų, apie juos informuoja </w:t>
      </w:r>
      <w:r w:rsidRPr="008D71F3">
        <w:rPr>
          <w:color w:val="000000"/>
          <w:szCs w:val="24"/>
        </w:rPr>
        <w:t xml:space="preserve">profesinio mokymo teikėjus </w:t>
      </w:r>
      <w:r w:rsidRPr="008D71F3">
        <w:rPr>
          <w:szCs w:val="24"/>
        </w:rPr>
        <w:t>elektroniniu paštu, su prašymu juos ištaisyti, o p</w:t>
      </w:r>
      <w:r w:rsidRPr="008D71F3">
        <w:rPr>
          <w:color w:val="000000"/>
          <w:szCs w:val="24"/>
        </w:rPr>
        <w:t xml:space="preserve">rofesinio mokymo teikėjai </w:t>
      </w:r>
      <w:r w:rsidRPr="008D71F3">
        <w:rPr>
          <w:szCs w:val="24"/>
        </w:rPr>
        <w:t>juos nedelsiant ištaiso;</w:t>
      </w:r>
    </w:p>
    <w:p w:rsidR="00DA3871" w:rsidRPr="008D71F3" w:rsidRDefault="008D71F3">
      <w:pPr>
        <w:suppressAutoHyphens/>
        <w:overflowPunct w:val="0"/>
        <w:spacing w:line="283" w:lineRule="auto"/>
        <w:ind w:firstLine="709"/>
        <w:jc w:val="both"/>
        <w:textAlignment w:val="center"/>
        <w:rPr>
          <w:szCs w:val="24"/>
        </w:rPr>
      </w:pPr>
      <w:r w:rsidRPr="008D71F3">
        <w:rPr>
          <w:szCs w:val="24"/>
        </w:rPr>
        <w:t>8.2. kai po Aprašo 4–7 punktuose nurodytų terminų Mokinių registre netikslumus pastebi p</w:t>
      </w:r>
      <w:r w:rsidRPr="008D71F3">
        <w:rPr>
          <w:color w:val="000000"/>
          <w:szCs w:val="24"/>
        </w:rPr>
        <w:t>rofesinio mokymo teikėjai</w:t>
      </w:r>
      <w:r w:rsidRPr="008D71F3">
        <w:rPr>
          <w:szCs w:val="24"/>
        </w:rPr>
        <w:t xml:space="preserve">, jie telefonu arba elektroniniu paštu </w:t>
      </w:r>
      <w:proofErr w:type="spellStart"/>
      <w:r w:rsidRPr="008D71F3">
        <w:rPr>
          <w:szCs w:val="24"/>
        </w:rPr>
        <w:t>pmlesos@ipc.lt</w:t>
      </w:r>
      <w:proofErr w:type="spellEnd"/>
      <w:r w:rsidRPr="008D71F3">
        <w:rPr>
          <w:szCs w:val="24"/>
        </w:rPr>
        <w:t xml:space="preserve"> apie tai praneša NŠA su prašymu leisti pataisyti netikslumus ir gavę iš NŠA pranešimą, kad leidžiama taisyti netikslumus, juos ištaiso;</w:t>
      </w:r>
    </w:p>
    <w:p w:rsidR="00DA3871" w:rsidRPr="008D71F3" w:rsidRDefault="008D71F3">
      <w:pPr>
        <w:suppressAutoHyphens/>
        <w:overflowPunct w:val="0"/>
        <w:spacing w:line="283" w:lineRule="auto"/>
        <w:ind w:firstLine="709"/>
        <w:jc w:val="both"/>
        <w:textAlignment w:val="center"/>
        <w:rPr>
          <w:color w:val="000000"/>
          <w:szCs w:val="24"/>
        </w:rPr>
      </w:pPr>
      <w:r w:rsidRPr="008D71F3">
        <w:rPr>
          <w:color w:val="000000"/>
          <w:szCs w:val="24"/>
        </w:rPr>
        <w:t>8.3. profesinio mokymo teikėjas ištaiso netikslumus Mokinių registre, Švietimo valdymo informacinėje sistemoje suformuoja naują ataskaitą ir ją patvirtina. Profesinio mokymo teikėjo vadovas Švietimo valdymo informacinėje sistemoje suformuoja naują suvestinę profesinio mokymo teikėjo ataskaitą;</w:t>
      </w:r>
    </w:p>
    <w:p w:rsidR="00DA3871" w:rsidRPr="008D71F3" w:rsidRDefault="008D71F3">
      <w:pPr>
        <w:suppressAutoHyphens/>
        <w:overflowPunct w:val="0"/>
        <w:spacing w:line="283" w:lineRule="auto"/>
        <w:ind w:firstLine="709"/>
        <w:jc w:val="both"/>
        <w:textAlignment w:val="center"/>
        <w:rPr>
          <w:color w:val="000000"/>
          <w:szCs w:val="24"/>
        </w:rPr>
      </w:pPr>
      <w:r w:rsidRPr="008D71F3">
        <w:rPr>
          <w:color w:val="000000"/>
          <w:szCs w:val="24"/>
        </w:rPr>
        <w:t xml:space="preserve">8.4. patikslintos profesinio mokymo teikėjų ataskaitos turi būti patvirtintos parašu ir skenuoti dokumentai pateikti NŠA elektroniniu paštu </w:t>
      </w:r>
      <w:proofErr w:type="spellStart"/>
      <w:r w:rsidRPr="008D71F3">
        <w:rPr>
          <w:szCs w:val="24"/>
        </w:rPr>
        <w:t>pmlesos@ipc.lt</w:t>
      </w:r>
      <w:proofErr w:type="spellEnd"/>
      <w:r w:rsidRPr="008D71F3">
        <w:rPr>
          <w:szCs w:val="24"/>
        </w:rPr>
        <w:t xml:space="preserve"> </w:t>
      </w:r>
      <w:r w:rsidRPr="008D71F3">
        <w:rPr>
          <w:color w:val="000000"/>
          <w:szCs w:val="24"/>
        </w:rPr>
        <w:t>per 3 darbo dienas nuo tada, kai buvo pastebėtas netikslumas (Aprašo 8.2 papunktyje nurodytais atvejais – nuo tada, kai profesinio mokymo teikėjas gauna NŠA pranešimą, kad leidžiama taisyti netikslumus), bet ne vėliau kaip iki einamųjų metų rugsėjo 16 dienos (sausio 16 dienos).</w:t>
      </w:r>
    </w:p>
    <w:p w:rsidR="008D71F3" w:rsidRDefault="008D71F3" w:rsidP="008D71F3">
      <w:pPr>
        <w:suppressAutoHyphens/>
        <w:overflowPunct w:val="0"/>
        <w:spacing w:line="283" w:lineRule="auto"/>
        <w:ind w:firstLine="709"/>
        <w:jc w:val="both"/>
        <w:textAlignment w:val="center"/>
        <w:rPr>
          <w:szCs w:val="24"/>
        </w:rPr>
      </w:pPr>
      <w:r w:rsidRPr="008D71F3">
        <w:rPr>
          <w:color w:val="000000"/>
          <w:szCs w:val="24"/>
        </w:rPr>
        <w:t>9. NŠA suvestinę informaciją apie mokinių skaičių (mokinių skaičių iš viso, iš jų: mokinių, dėl įgimtų arba įgytų sutrikimų, turinčių vidutinių specialiųjų ugdymosi poreikių, skaičių; mokinių dėl įgimtų arba įgytų sutrikimų, turinčių didelių arba labai didelių specialiųjų ugdymosi poreikių skaičių; mokinių, esančių laisvės atėmimo vietoje, skaičių; mokinių, kuriems formalusis profesinis mokymas vykdomas pameistrystės profesinio mokymo organizavimo forma, skaičių), mokymo lėšas (mokymo lėšas iš viso, iš jų: mokytojų, dirbančių pagal formaliojo profesinio mokymo programas, darbo užmokesčiui; socialinio draudimo įmokoms, įmokoms į Ilgalaikio darbo išmokų fondą ir Garantinį fondą; ugdymo procesui organizuoti ir valdyti; švietimo pagalbai; mokytojų ir kitų ugdymo procese dalyvaujančių asmenų kvalifikacijai tobulinti; mokymo priemonėms; papildomai</w:t>
      </w:r>
      <w:r w:rsidRPr="008D71F3">
        <w:rPr>
          <w:szCs w:val="24"/>
        </w:rPr>
        <w:t xml:space="preserve"> skiriamas lėšas dėl profesinio mokymo vykdymo pameistrystės forma) </w:t>
      </w:r>
      <w:r w:rsidRPr="008D71F3">
        <w:rPr>
          <w:color w:val="000000"/>
          <w:szCs w:val="24"/>
        </w:rPr>
        <w:t xml:space="preserve">ir kitus rodiklius (sąlyginį pareigybių skaičių, kontaktinių valandų skaičių ir kt.) </w:t>
      </w:r>
      <w:r w:rsidRPr="008D71F3">
        <w:rPr>
          <w:szCs w:val="24"/>
        </w:rPr>
        <w:t>pagal p</w:t>
      </w:r>
      <w:r w:rsidRPr="008D71F3">
        <w:rPr>
          <w:color w:val="000000"/>
          <w:szCs w:val="24"/>
        </w:rPr>
        <w:t>rofesinio mokymo teikėjus pateikia</w:t>
      </w:r>
      <w:r w:rsidRPr="008D71F3">
        <w:rPr>
          <w:szCs w:val="24"/>
        </w:rPr>
        <w:t xml:space="preserve"> Švietimo, mokslo ir sporto ministerijai iki einamųjų metų rugsėjo 18 dienos (sausio 18 dienos).</w:t>
      </w:r>
    </w:p>
    <w:p w:rsidR="008D71F3" w:rsidRDefault="008D71F3" w:rsidP="008D71F3">
      <w:pPr>
        <w:suppressAutoHyphens/>
        <w:overflowPunct w:val="0"/>
        <w:spacing w:line="283" w:lineRule="auto"/>
        <w:ind w:firstLine="709"/>
        <w:jc w:val="both"/>
        <w:textAlignment w:val="center"/>
        <w:rPr>
          <w:color w:val="000000"/>
          <w:sz w:val="20"/>
          <w:szCs w:val="24"/>
        </w:rPr>
      </w:pPr>
    </w:p>
    <w:p w:rsidR="00DA3871" w:rsidRPr="008D71F3" w:rsidRDefault="008D71F3">
      <w:pPr>
        <w:overflowPunct w:val="0"/>
        <w:jc w:val="center"/>
        <w:textAlignment w:val="baseline"/>
        <w:rPr>
          <w:sz w:val="20"/>
        </w:rPr>
      </w:pPr>
      <w:r w:rsidRPr="008D71F3">
        <w:rPr>
          <w:sz w:val="20"/>
          <w:szCs w:val="24"/>
        </w:rPr>
        <w:t>______________________</w:t>
      </w:r>
    </w:p>
    <w:p w:rsidR="00DA3871" w:rsidRPr="008D71F3" w:rsidRDefault="00DA3871">
      <w:pPr>
        <w:rPr>
          <w:sz w:val="2"/>
          <w:szCs w:val="2"/>
        </w:rPr>
      </w:pPr>
    </w:p>
    <w:p w:rsidR="00DA3871" w:rsidRPr="008D71F3" w:rsidRDefault="00DA3871">
      <w:pPr>
        <w:rPr>
          <w:sz w:val="2"/>
          <w:szCs w:val="2"/>
        </w:rPr>
      </w:pPr>
    </w:p>
    <w:p w:rsidR="00DA3871" w:rsidRPr="008D71F3" w:rsidRDefault="00DA3871">
      <w:pPr>
        <w:overflowPunct w:val="0"/>
        <w:jc w:val="both"/>
        <w:textAlignment w:val="baseline"/>
      </w:pPr>
    </w:p>
    <w:p w:rsidR="00DA3871" w:rsidRPr="008D71F3" w:rsidRDefault="00DA3871">
      <w:pPr>
        <w:rPr>
          <w:sz w:val="2"/>
          <w:szCs w:val="2"/>
        </w:rPr>
      </w:pPr>
    </w:p>
    <w:p w:rsidR="00DA3871" w:rsidRPr="008D71F3" w:rsidRDefault="008D71F3">
      <w:pPr>
        <w:overflowPunct w:val="0"/>
        <w:jc w:val="both"/>
        <w:textAlignment w:val="baseline"/>
        <w:sectPr w:rsidR="00DA3871" w:rsidRPr="008D71F3">
          <w:pgSz w:w="11907" w:h="16840" w:code="9"/>
          <w:pgMar w:top="1138" w:right="850" w:bottom="1238" w:left="1418" w:header="288" w:footer="720" w:gutter="0"/>
          <w:pgNumType w:start="1"/>
          <w:cols w:space="720"/>
          <w:noEndnote/>
          <w:titlePg/>
        </w:sectPr>
      </w:pPr>
      <w:r w:rsidRPr="008D71F3">
        <w:br w:type="page"/>
      </w:r>
    </w:p>
    <w:p w:rsidR="00DA3871" w:rsidRPr="008D71F3" w:rsidRDefault="00DA3871">
      <w:pPr>
        <w:tabs>
          <w:tab w:val="center" w:pos="4153"/>
          <w:tab w:val="right" w:pos="8306"/>
        </w:tabs>
        <w:overflowPunct w:val="0"/>
        <w:textAlignment w:val="baseline"/>
        <w:rPr>
          <w:sz w:val="20"/>
          <w:lang w:val="en-GB"/>
        </w:rPr>
      </w:pPr>
    </w:p>
    <w:p w:rsidR="00DA3871" w:rsidRPr="008D71F3" w:rsidRDefault="008D71F3">
      <w:pPr>
        <w:overflowPunct w:val="0"/>
        <w:ind w:left="9100"/>
        <w:textAlignment w:val="baseline"/>
        <w:rPr>
          <w:szCs w:val="24"/>
        </w:rPr>
      </w:pPr>
      <w:r w:rsidRPr="008D71F3">
        <w:rPr>
          <w:szCs w:val="24"/>
        </w:rPr>
        <w:t xml:space="preserve">Informacijos, kurios reikia profesinio mokymo lėšų </w:t>
      </w:r>
    </w:p>
    <w:p w:rsidR="00DA3871" w:rsidRPr="008D71F3" w:rsidRDefault="008D71F3">
      <w:pPr>
        <w:overflowPunct w:val="0"/>
        <w:ind w:left="9100"/>
        <w:textAlignment w:val="baseline"/>
        <w:rPr>
          <w:szCs w:val="24"/>
        </w:rPr>
      </w:pPr>
      <w:r w:rsidRPr="008D71F3">
        <w:rPr>
          <w:szCs w:val="24"/>
        </w:rPr>
        <w:t xml:space="preserve">sumai apskaičiuoti, teikimo Nacionalinei švietimo </w:t>
      </w:r>
    </w:p>
    <w:p w:rsidR="00DA3871" w:rsidRPr="008D71F3" w:rsidRDefault="008D71F3">
      <w:pPr>
        <w:overflowPunct w:val="0"/>
        <w:ind w:left="9100"/>
        <w:textAlignment w:val="baseline"/>
        <w:rPr>
          <w:szCs w:val="24"/>
        </w:rPr>
      </w:pPr>
      <w:r w:rsidRPr="008D71F3">
        <w:rPr>
          <w:szCs w:val="24"/>
        </w:rPr>
        <w:t xml:space="preserve">agentūrai tvarkos aprašo </w:t>
      </w:r>
    </w:p>
    <w:p w:rsidR="00DA3871" w:rsidRPr="008D71F3" w:rsidRDefault="008D71F3">
      <w:pPr>
        <w:overflowPunct w:val="0"/>
        <w:ind w:left="9100"/>
        <w:textAlignment w:val="baseline"/>
        <w:rPr>
          <w:szCs w:val="24"/>
        </w:rPr>
      </w:pPr>
      <w:r w:rsidRPr="008D71F3">
        <w:rPr>
          <w:szCs w:val="24"/>
        </w:rPr>
        <w:t>priedas</w:t>
      </w:r>
    </w:p>
    <w:p w:rsidR="00DA3871" w:rsidRPr="008D71F3" w:rsidRDefault="00DA3871">
      <w:pPr>
        <w:overflowPunct w:val="0"/>
        <w:jc w:val="center"/>
        <w:textAlignment w:val="baseline"/>
        <w:rPr>
          <w:b/>
          <w:szCs w:val="24"/>
        </w:rPr>
      </w:pPr>
    </w:p>
    <w:p w:rsidR="00DA3871" w:rsidRPr="008D71F3" w:rsidRDefault="008D71F3">
      <w:pPr>
        <w:overflowPunct w:val="0"/>
        <w:jc w:val="center"/>
        <w:textAlignment w:val="baseline"/>
        <w:rPr>
          <w:b/>
          <w:szCs w:val="24"/>
        </w:rPr>
      </w:pPr>
      <w:r w:rsidRPr="008D71F3">
        <w:rPr>
          <w:b/>
          <w:szCs w:val="24"/>
        </w:rPr>
        <w:t xml:space="preserve">(Profesinio mokymo lėšų apskaičiavimo ataskaitos </w:t>
      </w:r>
      <w:r w:rsidRPr="008D71F3">
        <w:rPr>
          <w:szCs w:val="24"/>
        </w:rPr>
        <w:t xml:space="preserve">__________ </w:t>
      </w:r>
      <w:r w:rsidRPr="008D71F3">
        <w:rPr>
          <w:b/>
          <w:szCs w:val="24"/>
        </w:rPr>
        <w:t>finansiniams metams formos pavyzdys)</w:t>
      </w:r>
    </w:p>
    <w:p w:rsidR="00DA3871" w:rsidRPr="008D71F3" w:rsidRDefault="00DA3871">
      <w:pPr>
        <w:overflowPunct w:val="0"/>
        <w:jc w:val="center"/>
        <w:textAlignment w:val="baseline"/>
        <w:rPr>
          <w:b/>
          <w:szCs w:val="24"/>
        </w:rPr>
      </w:pPr>
    </w:p>
    <w:p w:rsidR="00DA3871" w:rsidRPr="008D71F3" w:rsidRDefault="008D71F3">
      <w:pPr>
        <w:overflowPunct w:val="0"/>
        <w:jc w:val="center"/>
        <w:textAlignment w:val="baseline"/>
        <w:rPr>
          <w:b/>
          <w:caps/>
          <w:szCs w:val="24"/>
        </w:rPr>
      </w:pPr>
      <w:r w:rsidRPr="008D71F3">
        <w:rPr>
          <w:b/>
          <w:caps/>
          <w:szCs w:val="24"/>
        </w:rPr>
        <w:t xml:space="preserve">Profesinio mokymo lėšų apskaičiavimo ataskaita </w:t>
      </w:r>
      <w:r w:rsidRPr="008D71F3">
        <w:rPr>
          <w:caps/>
          <w:szCs w:val="24"/>
        </w:rPr>
        <w:t xml:space="preserve">__________ </w:t>
      </w:r>
      <w:r w:rsidRPr="008D71F3">
        <w:rPr>
          <w:b/>
          <w:caps/>
          <w:szCs w:val="24"/>
        </w:rPr>
        <w:t>finansiniams metams</w:t>
      </w:r>
    </w:p>
    <w:p w:rsidR="00DA3871" w:rsidRPr="008D71F3" w:rsidRDefault="008D71F3">
      <w:pPr>
        <w:overflowPunct w:val="0"/>
        <w:jc w:val="center"/>
        <w:textAlignment w:val="baseline"/>
        <w:rPr>
          <w:szCs w:val="24"/>
        </w:rPr>
      </w:pPr>
      <w:r w:rsidRPr="008D71F3">
        <w:rPr>
          <w:szCs w:val="24"/>
        </w:rPr>
        <w:t>_________________</w:t>
      </w:r>
    </w:p>
    <w:p w:rsidR="00DA3871" w:rsidRPr="008D71F3" w:rsidRDefault="008D71F3">
      <w:pPr>
        <w:overflowPunct w:val="0"/>
        <w:jc w:val="center"/>
        <w:textAlignment w:val="baseline"/>
        <w:rPr>
          <w:sz w:val="22"/>
          <w:szCs w:val="22"/>
        </w:rPr>
      </w:pPr>
      <w:r w:rsidRPr="008D71F3">
        <w:rPr>
          <w:sz w:val="22"/>
          <w:szCs w:val="22"/>
        </w:rPr>
        <w:t>(data)</w:t>
      </w:r>
    </w:p>
    <w:p w:rsidR="00DA3871" w:rsidRPr="008D71F3" w:rsidRDefault="008D71F3">
      <w:pPr>
        <w:overflowPunct w:val="0"/>
        <w:jc w:val="center"/>
        <w:textAlignment w:val="baseline"/>
        <w:rPr>
          <w:szCs w:val="24"/>
        </w:rPr>
      </w:pPr>
      <w:r w:rsidRPr="008D71F3">
        <w:rPr>
          <w:szCs w:val="24"/>
        </w:rPr>
        <w:t>_________________</w:t>
      </w:r>
    </w:p>
    <w:p w:rsidR="00DA3871" w:rsidRPr="008D71F3" w:rsidRDefault="008D71F3">
      <w:pPr>
        <w:overflowPunct w:val="0"/>
        <w:jc w:val="center"/>
        <w:textAlignment w:val="baseline"/>
        <w:rPr>
          <w:sz w:val="22"/>
          <w:szCs w:val="22"/>
        </w:rPr>
      </w:pPr>
      <w:r w:rsidRPr="008D71F3">
        <w:rPr>
          <w:sz w:val="22"/>
          <w:szCs w:val="22"/>
        </w:rPr>
        <w:t>(sudarymo vieta)</w:t>
      </w:r>
    </w:p>
    <w:p w:rsidR="00DA3871" w:rsidRPr="008D71F3" w:rsidRDefault="00DA3871">
      <w:pPr>
        <w:overflowPunct w:val="0"/>
        <w:jc w:val="center"/>
        <w:textAlignment w:val="baseline"/>
        <w:rPr>
          <w:sz w:val="16"/>
          <w:szCs w:val="16"/>
        </w:rPr>
      </w:pPr>
    </w:p>
    <w:p w:rsidR="00DA3871" w:rsidRPr="008D71F3" w:rsidRDefault="008D71F3">
      <w:pPr>
        <w:overflowPunct w:val="0"/>
        <w:jc w:val="center"/>
        <w:textAlignment w:val="baseline"/>
        <w:rPr>
          <w:szCs w:val="24"/>
        </w:rPr>
      </w:pPr>
      <w:r w:rsidRPr="008D71F3">
        <w:rPr>
          <w:szCs w:val="24"/>
        </w:rPr>
        <w:t>Duomenų teikėjas _______________________________________</w:t>
      </w:r>
    </w:p>
    <w:p w:rsidR="00DA3871" w:rsidRPr="008D71F3" w:rsidRDefault="008D71F3">
      <w:pPr>
        <w:overflowPunct w:val="0"/>
        <w:ind w:left="5760" w:firstLine="720"/>
        <w:textAlignment w:val="baseline"/>
        <w:rPr>
          <w:sz w:val="22"/>
          <w:szCs w:val="22"/>
        </w:rPr>
      </w:pPr>
      <w:r w:rsidRPr="008D71F3">
        <w:rPr>
          <w:sz w:val="22"/>
          <w:szCs w:val="22"/>
        </w:rPr>
        <w:t>(profesinio mokymo teikėjo pavadinimas)</w:t>
      </w:r>
    </w:p>
    <w:p w:rsidR="00DA3871" w:rsidRPr="008D71F3" w:rsidRDefault="00DA3871">
      <w:pPr>
        <w:overflowPunct w:val="0"/>
        <w:textAlignment w:val="baseline"/>
        <w:rPr>
          <w:sz w:val="22"/>
          <w:szCs w:val="22"/>
        </w:rPr>
      </w:pPr>
    </w:p>
    <w:p w:rsidR="00DA3871" w:rsidRPr="008D71F3" w:rsidRDefault="008D71F3">
      <w:pPr>
        <w:overflowPunct w:val="0"/>
        <w:textAlignment w:val="baseline"/>
        <w:rPr>
          <w:szCs w:val="24"/>
        </w:rPr>
      </w:pPr>
      <w:r w:rsidRPr="008D71F3">
        <w:rPr>
          <w:szCs w:val="24"/>
        </w:rPr>
        <w:t>1 lentelė</w:t>
      </w:r>
    </w:p>
    <w:p w:rsidR="00DA3871" w:rsidRPr="008D71F3" w:rsidRDefault="008D71F3">
      <w:pPr>
        <w:tabs>
          <w:tab w:val="left" w:pos="11624"/>
          <w:tab w:val="left" w:pos="12333"/>
          <w:tab w:val="left" w:pos="12758"/>
        </w:tabs>
        <w:overflowPunct w:val="0"/>
        <w:jc w:val="center"/>
        <w:textAlignment w:val="baseline"/>
        <w:rPr>
          <w:szCs w:val="24"/>
        </w:rPr>
      </w:pPr>
      <w:r w:rsidRPr="008D71F3">
        <w:rPr>
          <w:szCs w:val="24"/>
        </w:rPr>
        <w:t>Mokinių skaičius ______________</w:t>
      </w:r>
    </w:p>
    <w:p w:rsidR="00DA3871" w:rsidRPr="008D71F3" w:rsidRDefault="008D71F3">
      <w:pPr>
        <w:overflowPunct w:val="0"/>
        <w:ind w:left="7900"/>
        <w:textAlignment w:val="baseline"/>
        <w:rPr>
          <w:sz w:val="22"/>
          <w:szCs w:val="22"/>
        </w:rPr>
      </w:pPr>
      <w:r w:rsidRPr="008D71F3">
        <w:rPr>
          <w:sz w:val="22"/>
          <w:szCs w:val="22"/>
        </w:rPr>
        <w:t>(datai)</w:t>
      </w:r>
    </w:p>
    <w:p w:rsidR="00DA3871" w:rsidRPr="008D71F3" w:rsidRDefault="00DA3871">
      <w:pPr>
        <w:overflowPunct w:val="0"/>
        <w:textAlignment w:val="baseline"/>
        <w:rPr>
          <w:sz w:val="16"/>
          <w:szCs w:val="16"/>
        </w:rPr>
      </w:pPr>
    </w:p>
    <w:tbl>
      <w:tblPr>
        <w:tblW w:w="1474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985"/>
        <w:gridCol w:w="1993"/>
        <w:gridCol w:w="1337"/>
        <w:gridCol w:w="1411"/>
        <w:gridCol w:w="988"/>
        <w:gridCol w:w="1509"/>
        <w:gridCol w:w="1701"/>
        <w:gridCol w:w="1560"/>
        <w:gridCol w:w="1559"/>
        <w:gridCol w:w="1276"/>
      </w:tblGrid>
      <w:tr w:rsidR="00DA3871" w:rsidRPr="008D71F3">
        <w:trPr>
          <w:trHeight w:val="20"/>
        </w:trPr>
        <w:tc>
          <w:tcPr>
            <w:tcW w:w="424" w:type="dxa"/>
            <w:vMerge w:val="restart"/>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Nr.</w:t>
            </w:r>
          </w:p>
        </w:tc>
        <w:tc>
          <w:tcPr>
            <w:tcW w:w="985" w:type="dxa"/>
            <w:vMerge w:val="restart"/>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Mokyklos kodas</w:t>
            </w:r>
          </w:p>
        </w:tc>
        <w:tc>
          <w:tcPr>
            <w:tcW w:w="1993" w:type="dxa"/>
            <w:vMerge w:val="restart"/>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Profesinio mokymo teikėjo pavadinimas</w:t>
            </w:r>
          </w:p>
        </w:tc>
        <w:tc>
          <w:tcPr>
            <w:tcW w:w="1337" w:type="dxa"/>
            <w:vMerge w:val="restart"/>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Programų grupė</w:t>
            </w:r>
          </w:p>
        </w:tc>
        <w:tc>
          <w:tcPr>
            <w:tcW w:w="1411" w:type="dxa"/>
            <w:vMerge w:val="restart"/>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Programa</w:t>
            </w:r>
          </w:p>
        </w:tc>
        <w:tc>
          <w:tcPr>
            <w:tcW w:w="8593" w:type="dxa"/>
            <w:gridSpan w:val="6"/>
            <w:noWrap/>
            <w:tcMar>
              <w:left w:w="28" w:type="dxa"/>
              <w:right w:w="28" w:type="dxa"/>
            </w:tcMar>
            <w:vAlign w:val="center"/>
          </w:tcPr>
          <w:p w:rsidR="00DA3871" w:rsidRPr="008D71F3" w:rsidRDefault="008D71F3">
            <w:pPr>
              <w:overflowPunct w:val="0"/>
              <w:ind w:right="264"/>
              <w:jc w:val="center"/>
              <w:textAlignment w:val="baseline"/>
              <w:rPr>
                <w:sz w:val="22"/>
                <w:szCs w:val="22"/>
              </w:rPr>
            </w:pPr>
            <w:r w:rsidRPr="008D71F3">
              <w:rPr>
                <w:sz w:val="22"/>
                <w:szCs w:val="22"/>
              </w:rPr>
              <w:t>Grupės tipas/kursas</w:t>
            </w:r>
          </w:p>
        </w:tc>
      </w:tr>
      <w:tr w:rsidR="00DA3871" w:rsidRPr="008D71F3">
        <w:trPr>
          <w:trHeight w:val="20"/>
        </w:trPr>
        <w:tc>
          <w:tcPr>
            <w:tcW w:w="424"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985"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1993"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1337"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1411"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988" w:type="dxa"/>
            <w:vMerge w:val="restart"/>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Mokinių skaičius</w:t>
            </w:r>
          </w:p>
          <w:p w:rsidR="00DA3871" w:rsidRPr="008D71F3" w:rsidRDefault="008D71F3">
            <w:pPr>
              <w:overflowPunct w:val="0"/>
              <w:jc w:val="center"/>
              <w:textAlignment w:val="baseline"/>
              <w:rPr>
                <w:sz w:val="22"/>
                <w:szCs w:val="22"/>
              </w:rPr>
            </w:pPr>
            <w:r w:rsidRPr="008D71F3">
              <w:rPr>
                <w:sz w:val="22"/>
                <w:szCs w:val="22"/>
              </w:rPr>
              <w:t>iš viso</w:t>
            </w:r>
          </w:p>
        </w:tc>
        <w:tc>
          <w:tcPr>
            <w:tcW w:w="7605" w:type="dxa"/>
            <w:gridSpan w:val="5"/>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iš jų:</w:t>
            </w:r>
          </w:p>
        </w:tc>
      </w:tr>
      <w:tr w:rsidR="00DA3871" w:rsidRPr="008D71F3">
        <w:trPr>
          <w:trHeight w:val="20"/>
        </w:trPr>
        <w:tc>
          <w:tcPr>
            <w:tcW w:w="424"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985"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1993"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1337" w:type="dxa"/>
            <w:vMerge/>
            <w:noWrap/>
            <w:tcMar>
              <w:left w:w="28" w:type="dxa"/>
              <w:right w:w="28" w:type="dxa"/>
            </w:tcMar>
            <w:vAlign w:val="center"/>
          </w:tcPr>
          <w:p w:rsidR="00DA3871" w:rsidRPr="008D71F3" w:rsidRDefault="00DA3871">
            <w:pPr>
              <w:overflowPunct w:val="0"/>
              <w:jc w:val="center"/>
              <w:textAlignment w:val="baseline"/>
              <w:rPr>
                <w:sz w:val="22"/>
                <w:szCs w:val="22"/>
              </w:rPr>
            </w:pPr>
          </w:p>
        </w:tc>
        <w:tc>
          <w:tcPr>
            <w:tcW w:w="1411" w:type="dxa"/>
            <w:vMerge/>
            <w:noWrap/>
            <w:tcMar>
              <w:left w:w="28" w:type="dxa"/>
              <w:right w:w="28" w:type="dxa"/>
            </w:tcMar>
            <w:vAlign w:val="center"/>
          </w:tcPr>
          <w:p w:rsidR="00DA3871" w:rsidRPr="008D71F3" w:rsidRDefault="00DA3871">
            <w:pPr>
              <w:overflowPunct w:val="0"/>
              <w:jc w:val="center"/>
              <w:textAlignment w:val="baseline"/>
              <w:rPr>
                <w:sz w:val="22"/>
                <w:szCs w:val="22"/>
              </w:rPr>
            </w:pPr>
          </w:p>
        </w:tc>
        <w:tc>
          <w:tcPr>
            <w:tcW w:w="988" w:type="dxa"/>
            <w:vMerge/>
            <w:noWrap/>
            <w:tcMar>
              <w:left w:w="28" w:type="dxa"/>
              <w:right w:w="28" w:type="dxa"/>
            </w:tcMar>
            <w:vAlign w:val="center"/>
          </w:tcPr>
          <w:p w:rsidR="00DA3871" w:rsidRPr="008D71F3" w:rsidRDefault="00DA3871">
            <w:pPr>
              <w:overflowPunct w:val="0"/>
              <w:jc w:val="center"/>
              <w:textAlignment w:val="baseline"/>
              <w:rPr>
                <w:sz w:val="22"/>
                <w:szCs w:val="22"/>
              </w:rPr>
            </w:pPr>
          </w:p>
        </w:tc>
        <w:tc>
          <w:tcPr>
            <w:tcW w:w="1509" w:type="dxa"/>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 xml:space="preserve">turinčių vidutinių specialiųjų ugdymosi poreikių </w:t>
            </w:r>
          </w:p>
        </w:tc>
        <w:tc>
          <w:tcPr>
            <w:tcW w:w="1701" w:type="dxa"/>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turinčių didelių arba labai didelių  specialiųjų ugdymosi poreikių</w:t>
            </w:r>
          </w:p>
        </w:tc>
        <w:tc>
          <w:tcPr>
            <w:tcW w:w="1560" w:type="dxa"/>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 xml:space="preserve">besimokančių laisvės atėmimo vietoje </w:t>
            </w:r>
          </w:p>
        </w:tc>
        <w:tc>
          <w:tcPr>
            <w:tcW w:w="1559" w:type="dxa"/>
            <w:vAlign w:val="center"/>
          </w:tcPr>
          <w:p w:rsidR="00DA3871" w:rsidRPr="008D71F3" w:rsidRDefault="008D71F3">
            <w:pPr>
              <w:overflowPunct w:val="0"/>
              <w:jc w:val="center"/>
              <w:textAlignment w:val="baseline"/>
              <w:rPr>
                <w:sz w:val="22"/>
                <w:szCs w:val="22"/>
              </w:rPr>
            </w:pPr>
            <w:r w:rsidRPr="008D71F3">
              <w:rPr>
                <w:sz w:val="22"/>
                <w:szCs w:val="22"/>
              </w:rPr>
              <w:t>besimokančių pameistrystės būdu</w:t>
            </w:r>
          </w:p>
        </w:tc>
        <w:tc>
          <w:tcPr>
            <w:tcW w:w="1276" w:type="dxa"/>
            <w:vAlign w:val="center"/>
          </w:tcPr>
          <w:p w:rsidR="00DA3871" w:rsidRPr="008D71F3" w:rsidRDefault="008D71F3">
            <w:pPr>
              <w:overflowPunct w:val="0"/>
              <w:jc w:val="center"/>
              <w:textAlignment w:val="baseline"/>
              <w:rPr>
                <w:sz w:val="22"/>
                <w:szCs w:val="22"/>
              </w:rPr>
            </w:pPr>
            <w:r w:rsidRPr="008D71F3">
              <w:rPr>
                <w:sz w:val="22"/>
                <w:szCs w:val="22"/>
              </w:rPr>
              <w:t>kitų</w:t>
            </w:r>
          </w:p>
        </w:tc>
      </w:tr>
      <w:tr w:rsidR="00DA3871" w:rsidRPr="008D71F3">
        <w:trPr>
          <w:trHeight w:val="20"/>
        </w:trPr>
        <w:tc>
          <w:tcPr>
            <w:tcW w:w="424" w:type="dxa"/>
            <w:tcMar>
              <w:left w:w="28" w:type="dxa"/>
              <w:right w:w="28" w:type="dxa"/>
            </w:tcMar>
            <w:vAlign w:val="center"/>
          </w:tcPr>
          <w:p w:rsidR="00DA3871" w:rsidRPr="008D71F3" w:rsidRDefault="00DA3871">
            <w:pPr>
              <w:overflowPunct w:val="0"/>
              <w:jc w:val="center"/>
              <w:textAlignment w:val="baseline"/>
              <w:rPr>
                <w:szCs w:val="24"/>
              </w:rPr>
            </w:pPr>
          </w:p>
        </w:tc>
        <w:tc>
          <w:tcPr>
            <w:tcW w:w="985" w:type="dxa"/>
            <w:tcMar>
              <w:left w:w="28" w:type="dxa"/>
              <w:right w:w="28" w:type="dxa"/>
            </w:tcMar>
            <w:vAlign w:val="center"/>
          </w:tcPr>
          <w:p w:rsidR="00DA3871" w:rsidRPr="008D71F3" w:rsidRDefault="00DA3871">
            <w:pPr>
              <w:overflowPunct w:val="0"/>
              <w:jc w:val="center"/>
              <w:textAlignment w:val="baseline"/>
              <w:rPr>
                <w:szCs w:val="24"/>
              </w:rPr>
            </w:pPr>
          </w:p>
        </w:tc>
        <w:tc>
          <w:tcPr>
            <w:tcW w:w="1993" w:type="dxa"/>
            <w:tcMar>
              <w:left w:w="28" w:type="dxa"/>
              <w:right w:w="28" w:type="dxa"/>
            </w:tcMar>
            <w:vAlign w:val="center"/>
          </w:tcPr>
          <w:p w:rsidR="00DA3871" w:rsidRPr="008D71F3" w:rsidRDefault="00DA3871">
            <w:pPr>
              <w:overflowPunct w:val="0"/>
              <w:jc w:val="center"/>
              <w:textAlignment w:val="baseline"/>
              <w:rPr>
                <w:szCs w:val="24"/>
              </w:rPr>
            </w:pPr>
          </w:p>
        </w:tc>
        <w:tc>
          <w:tcPr>
            <w:tcW w:w="1337" w:type="dxa"/>
            <w:noWrap/>
            <w:tcMar>
              <w:left w:w="28" w:type="dxa"/>
              <w:right w:w="28" w:type="dxa"/>
            </w:tcMar>
            <w:vAlign w:val="center"/>
          </w:tcPr>
          <w:p w:rsidR="00DA3871" w:rsidRPr="008D71F3" w:rsidRDefault="00DA3871">
            <w:pPr>
              <w:overflowPunct w:val="0"/>
              <w:jc w:val="center"/>
              <w:textAlignment w:val="baseline"/>
              <w:rPr>
                <w:szCs w:val="24"/>
              </w:rPr>
            </w:pPr>
          </w:p>
        </w:tc>
        <w:tc>
          <w:tcPr>
            <w:tcW w:w="1411" w:type="dxa"/>
            <w:noWrap/>
            <w:tcMar>
              <w:left w:w="28" w:type="dxa"/>
              <w:right w:w="28" w:type="dxa"/>
            </w:tcMar>
            <w:vAlign w:val="center"/>
          </w:tcPr>
          <w:p w:rsidR="00DA3871" w:rsidRPr="008D71F3" w:rsidRDefault="00DA3871">
            <w:pPr>
              <w:overflowPunct w:val="0"/>
              <w:jc w:val="center"/>
              <w:textAlignment w:val="baseline"/>
              <w:rPr>
                <w:szCs w:val="24"/>
              </w:rPr>
            </w:pPr>
          </w:p>
        </w:tc>
        <w:tc>
          <w:tcPr>
            <w:tcW w:w="988" w:type="dxa"/>
            <w:noWrap/>
            <w:tcMar>
              <w:left w:w="28" w:type="dxa"/>
              <w:right w:w="28" w:type="dxa"/>
            </w:tcMar>
            <w:vAlign w:val="center"/>
          </w:tcPr>
          <w:p w:rsidR="00DA3871" w:rsidRPr="008D71F3" w:rsidRDefault="00DA3871">
            <w:pPr>
              <w:overflowPunct w:val="0"/>
              <w:jc w:val="center"/>
              <w:textAlignment w:val="baseline"/>
              <w:rPr>
                <w:szCs w:val="24"/>
              </w:rPr>
            </w:pPr>
          </w:p>
        </w:tc>
        <w:tc>
          <w:tcPr>
            <w:tcW w:w="1509" w:type="dxa"/>
            <w:noWrap/>
            <w:tcMar>
              <w:left w:w="28" w:type="dxa"/>
              <w:right w:w="28" w:type="dxa"/>
            </w:tcMar>
            <w:vAlign w:val="center"/>
          </w:tcPr>
          <w:p w:rsidR="00DA3871" w:rsidRPr="008D71F3" w:rsidRDefault="00DA3871">
            <w:pPr>
              <w:overflowPunct w:val="0"/>
              <w:jc w:val="center"/>
              <w:textAlignment w:val="baseline"/>
              <w:rPr>
                <w:i/>
                <w:szCs w:val="24"/>
              </w:rPr>
            </w:pPr>
          </w:p>
        </w:tc>
        <w:tc>
          <w:tcPr>
            <w:tcW w:w="1701" w:type="dxa"/>
            <w:noWrap/>
            <w:tcMar>
              <w:left w:w="28" w:type="dxa"/>
              <w:right w:w="28" w:type="dxa"/>
            </w:tcMar>
            <w:vAlign w:val="center"/>
          </w:tcPr>
          <w:p w:rsidR="00DA3871" w:rsidRPr="008D71F3" w:rsidRDefault="00DA3871">
            <w:pPr>
              <w:overflowPunct w:val="0"/>
              <w:textAlignment w:val="baseline"/>
              <w:rPr>
                <w:i/>
                <w:szCs w:val="24"/>
              </w:rPr>
            </w:pPr>
          </w:p>
        </w:tc>
        <w:tc>
          <w:tcPr>
            <w:tcW w:w="1560" w:type="dxa"/>
            <w:noWrap/>
            <w:tcMar>
              <w:left w:w="28" w:type="dxa"/>
              <w:right w:w="28" w:type="dxa"/>
            </w:tcMar>
            <w:vAlign w:val="center"/>
          </w:tcPr>
          <w:p w:rsidR="00DA3871" w:rsidRPr="008D71F3" w:rsidRDefault="00DA3871">
            <w:pPr>
              <w:overflowPunct w:val="0"/>
              <w:jc w:val="center"/>
              <w:textAlignment w:val="baseline"/>
              <w:rPr>
                <w:i/>
                <w:szCs w:val="24"/>
              </w:rPr>
            </w:pPr>
          </w:p>
        </w:tc>
        <w:tc>
          <w:tcPr>
            <w:tcW w:w="1559" w:type="dxa"/>
          </w:tcPr>
          <w:p w:rsidR="00DA3871" w:rsidRPr="008D71F3" w:rsidRDefault="00DA3871">
            <w:pPr>
              <w:overflowPunct w:val="0"/>
              <w:jc w:val="center"/>
              <w:textAlignment w:val="baseline"/>
              <w:rPr>
                <w:i/>
                <w:szCs w:val="24"/>
              </w:rPr>
            </w:pPr>
          </w:p>
        </w:tc>
        <w:tc>
          <w:tcPr>
            <w:tcW w:w="1276" w:type="dxa"/>
          </w:tcPr>
          <w:p w:rsidR="00DA3871" w:rsidRPr="008D71F3" w:rsidRDefault="00DA3871">
            <w:pPr>
              <w:overflowPunct w:val="0"/>
              <w:jc w:val="center"/>
              <w:textAlignment w:val="baseline"/>
              <w:rPr>
                <w:i/>
                <w:szCs w:val="24"/>
              </w:rPr>
            </w:pPr>
          </w:p>
        </w:tc>
      </w:tr>
    </w:tbl>
    <w:p w:rsidR="00DA3871" w:rsidRPr="008D71F3" w:rsidRDefault="00DA3871">
      <w:pPr>
        <w:overflowPunct w:val="0"/>
        <w:textAlignment w:val="baseline"/>
        <w:rPr>
          <w:szCs w:val="24"/>
        </w:rPr>
      </w:pPr>
    </w:p>
    <w:p w:rsidR="00DA3871" w:rsidRPr="008D71F3" w:rsidRDefault="00DA3871">
      <w:pPr>
        <w:overflowPunct w:val="0"/>
        <w:textAlignment w:val="baseline"/>
        <w:rPr>
          <w:szCs w:val="24"/>
        </w:rPr>
      </w:pPr>
    </w:p>
    <w:p w:rsidR="00DA3871" w:rsidRPr="008D71F3" w:rsidRDefault="008D71F3">
      <w:pPr>
        <w:overflowPunct w:val="0"/>
        <w:textAlignment w:val="baseline"/>
        <w:rPr>
          <w:szCs w:val="24"/>
        </w:rPr>
      </w:pPr>
      <w:r w:rsidRPr="008D71F3">
        <w:rPr>
          <w:szCs w:val="24"/>
        </w:rPr>
        <w:t>2 lentelė</w:t>
      </w:r>
    </w:p>
    <w:p w:rsidR="00DA3871" w:rsidRPr="008D71F3" w:rsidRDefault="008D71F3">
      <w:pPr>
        <w:overflowPunct w:val="0"/>
        <w:jc w:val="center"/>
        <w:textAlignment w:val="baseline"/>
        <w:rPr>
          <w:szCs w:val="24"/>
        </w:rPr>
      </w:pPr>
      <w:r w:rsidRPr="008D71F3">
        <w:rPr>
          <w:szCs w:val="24"/>
        </w:rPr>
        <w:t xml:space="preserve">Profesinio mokymo lėšos mokytojų darbo užmokesčiui (DU) apskaičiuoti __________ finansiniams metams </w:t>
      </w:r>
    </w:p>
    <w:p w:rsidR="00DA3871" w:rsidRPr="008D71F3" w:rsidRDefault="00DA3871">
      <w:pPr>
        <w:overflowPunct w:val="0"/>
        <w:textAlignment w:val="baseline"/>
        <w:rPr>
          <w:szCs w:val="2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
        <w:gridCol w:w="1061"/>
        <w:gridCol w:w="2949"/>
        <w:gridCol w:w="1843"/>
        <w:gridCol w:w="2976"/>
        <w:gridCol w:w="5530"/>
      </w:tblGrid>
      <w:tr w:rsidR="00DA3871" w:rsidRPr="008D71F3">
        <w:trPr>
          <w:trHeight w:val="20"/>
        </w:trPr>
        <w:tc>
          <w:tcPr>
            <w:tcW w:w="355" w:type="dxa"/>
            <w:vMerge w:val="restart"/>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Nr.</w:t>
            </w:r>
          </w:p>
        </w:tc>
        <w:tc>
          <w:tcPr>
            <w:tcW w:w="1063" w:type="dxa"/>
            <w:vMerge w:val="restart"/>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Mokyklos kodas</w:t>
            </w:r>
          </w:p>
        </w:tc>
        <w:tc>
          <w:tcPr>
            <w:tcW w:w="2976" w:type="dxa"/>
            <w:vMerge w:val="restart"/>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Profesinio mokymo teikėjo pavadinimas</w:t>
            </w:r>
          </w:p>
        </w:tc>
        <w:tc>
          <w:tcPr>
            <w:tcW w:w="1843" w:type="dxa"/>
            <w:vMerge w:val="restart"/>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Programų grupė</w:t>
            </w:r>
          </w:p>
        </w:tc>
        <w:tc>
          <w:tcPr>
            <w:tcW w:w="2976" w:type="dxa"/>
            <w:vMerge w:val="restart"/>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Programa</w:t>
            </w:r>
          </w:p>
        </w:tc>
        <w:tc>
          <w:tcPr>
            <w:tcW w:w="5530" w:type="dxa"/>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Grupės tipas/kursas</w:t>
            </w:r>
          </w:p>
        </w:tc>
      </w:tr>
      <w:tr w:rsidR="00DA3871" w:rsidRPr="008D71F3">
        <w:trPr>
          <w:trHeight w:val="20"/>
        </w:trPr>
        <w:tc>
          <w:tcPr>
            <w:tcW w:w="355"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1063"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2976"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1843"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2976" w:type="dxa"/>
            <w:vMerge/>
            <w:tcMar>
              <w:left w:w="28" w:type="dxa"/>
              <w:right w:w="28" w:type="dxa"/>
            </w:tcMar>
            <w:vAlign w:val="center"/>
          </w:tcPr>
          <w:p w:rsidR="00DA3871" w:rsidRPr="008D71F3" w:rsidRDefault="00DA3871">
            <w:pPr>
              <w:overflowPunct w:val="0"/>
              <w:jc w:val="center"/>
              <w:textAlignment w:val="baseline"/>
              <w:rPr>
                <w:sz w:val="22"/>
                <w:szCs w:val="22"/>
              </w:rPr>
            </w:pPr>
          </w:p>
        </w:tc>
        <w:tc>
          <w:tcPr>
            <w:tcW w:w="5530" w:type="dxa"/>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 xml:space="preserve">DU lėšos, </w:t>
            </w:r>
            <w:proofErr w:type="spellStart"/>
            <w:r w:rsidRPr="008D71F3">
              <w:rPr>
                <w:sz w:val="22"/>
                <w:szCs w:val="22"/>
              </w:rPr>
              <w:t>Eur</w:t>
            </w:r>
            <w:proofErr w:type="spellEnd"/>
          </w:p>
        </w:tc>
      </w:tr>
      <w:tr w:rsidR="00DA3871" w:rsidRPr="008D71F3">
        <w:trPr>
          <w:trHeight w:val="20"/>
        </w:trPr>
        <w:tc>
          <w:tcPr>
            <w:tcW w:w="355" w:type="dxa"/>
            <w:tcMar>
              <w:left w:w="28" w:type="dxa"/>
              <w:right w:w="28" w:type="dxa"/>
            </w:tcMar>
            <w:vAlign w:val="center"/>
          </w:tcPr>
          <w:p w:rsidR="00DA3871" w:rsidRPr="008D71F3" w:rsidRDefault="00DA3871">
            <w:pPr>
              <w:overflowPunct w:val="0"/>
              <w:jc w:val="center"/>
              <w:textAlignment w:val="baseline"/>
              <w:rPr>
                <w:szCs w:val="24"/>
              </w:rPr>
            </w:pPr>
          </w:p>
        </w:tc>
        <w:tc>
          <w:tcPr>
            <w:tcW w:w="1063" w:type="dxa"/>
            <w:tcMar>
              <w:left w:w="28" w:type="dxa"/>
              <w:right w:w="28" w:type="dxa"/>
            </w:tcMar>
            <w:vAlign w:val="center"/>
          </w:tcPr>
          <w:p w:rsidR="00DA3871" w:rsidRPr="008D71F3" w:rsidRDefault="00DA3871">
            <w:pPr>
              <w:overflowPunct w:val="0"/>
              <w:jc w:val="center"/>
              <w:textAlignment w:val="baseline"/>
              <w:rPr>
                <w:szCs w:val="24"/>
              </w:rPr>
            </w:pPr>
          </w:p>
        </w:tc>
        <w:tc>
          <w:tcPr>
            <w:tcW w:w="2976" w:type="dxa"/>
            <w:tcMar>
              <w:left w:w="28" w:type="dxa"/>
              <w:right w:w="28" w:type="dxa"/>
            </w:tcMar>
            <w:vAlign w:val="center"/>
          </w:tcPr>
          <w:p w:rsidR="00DA3871" w:rsidRPr="008D71F3" w:rsidRDefault="00DA3871">
            <w:pPr>
              <w:overflowPunct w:val="0"/>
              <w:jc w:val="center"/>
              <w:textAlignment w:val="baseline"/>
              <w:rPr>
                <w:szCs w:val="24"/>
              </w:rPr>
            </w:pPr>
          </w:p>
        </w:tc>
        <w:tc>
          <w:tcPr>
            <w:tcW w:w="1843" w:type="dxa"/>
            <w:tcMar>
              <w:left w:w="28" w:type="dxa"/>
              <w:right w:w="28" w:type="dxa"/>
            </w:tcMar>
            <w:vAlign w:val="center"/>
          </w:tcPr>
          <w:p w:rsidR="00DA3871" w:rsidRPr="008D71F3" w:rsidRDefault="00DA3871">
            <w:pPr>
              <w:overflowPunct w:val="0"/>
              <w:jc w:val="center"/>
              <w:textAlignment w:val="baseline"/>
              <w:rPr>
                <w:szCs w:val="24"/>
              </w:rPr>
            </w:pPr>
          </w:p>
        </w:tc>
        <w:tc>
          <w:tcPr>
            <w:tcW w:w="2976" w:type="dxa"/>
            <w:tcMar>
              <w:left w:w="28" w:type="dxa"/>
              <w:right w:w="28" w:type="dxa"/>
            </w:tcMar>
            <w:vAlign w:val="center"/>
          </w:tcPr>
          <w:p w:rsidR="00DA3871" w:rsidRPr="008D71F3" w:rsidRDefault="00DA3871">
            <w:pPr>
              <w:overflowPunct w:val="0"/>
              <w:jc w:val="center"/>
              <w:textAlignment w:val="baseline"/>
              <w:rPr>
                <w:szCs w:val="24"/>
              </w:rPr>
            </w:pPr>
          </w:p>
        </w:tc>
        <w:tc>
          <w:tcPr>
            <w:tcW w:w="5530" w:type="dxa"/>
            <w:tcMar>
              <w:left w:w="28" w:type="dxa"/>
              <w:right w:w="28" w:type="dxa"/>
            </w:tcMar>
            <w:vAlign w:val="center"/>
          </w:tcPr>
          <w:p w:rsidR="00DA3871" w:rsidRPr="008D71F3" w:rsidRDefault="00DA3871">
            <w:pPr>
              <w:overflowPunct w:val="0"/>
              <w:jc w:val="center"/>
              <w:textAlignment w:val="baseline"/>
              <w:rPr>
                <w:szCs w:val="24"/>
              </w:rPr>
            </w:pPr>
          </w:p>
        </w:tc>
      </w:tr>
    </w:tbl>
    <w:p w:rsidR="00DA3871" w:rsidRPr="008D71F3" w:rsidRDefault="00DA3871">
      <w:pPr>
        <w:overflowPunct w:val="0"/>
        <w:textAlignment w:val="baseline"/>
        <w:rPr>
          <w:szCs w:val="24"/>
        </w:rPr>
      </w:pPr>
    </w:p>
    <w:p w:rsidR="00DA3871" w:rsidRPr="008D71F3" w:rsidRDefault="008D71F3">
      <w:pPr>
        <w:overflowPunct w:val="0"/>
        <w:textAlignment w:val="baseline"/>
        <w:rPr>
          <w:szCs w:val="24"/>
        </w:rPr>
      </w:pPr>
      <w:r w:rsidRPr="008D71F3">
        <w:rPr>
          <w:szCs w:val="24"/>
        </w:rPr>
        <w:t>3 lentelė</w:t>
      </w:r>
    </w:p>
    <w:p w:rsidR="00DA3871" w:rsidRPr="008D71F3" w:rsidRDefault="008D71F3">
      <w:pPr>
        <w:overflowPunct w:val="0"/>
        <w:jc w:val="center"/>
        <w:textAlignment w:val="baseline"/>
        <w:rPr>
          <w:szCs w:val="24"/>
        </w:rPr>
      </w:pPr>
      <w:r w:rsidRPr="008D71F3">
        <w:rPr>
          <w:szCs w:val="24"/>
        </w:rPr>
        <w:t>Profesinio mokymo lėšos _____________ finansiniams metams</w:t>
      </w:r>
    </w:p>
    <w:p w:rsidR="00DA3871" w:rsidRPr="008D71F3" w:rsidRDefault="00DA3871">
      <w:pPr>
        <w:overflowPunct w:val="0"/>
        <w:textAlignment w:val="baseline"/>
        <w:rPr>
          <w:szCs w:val="24"/>
        </w:rPr>
      </w:pPr>
    </w:p>
    <w:tbl>
      <w:tblPr>
        <w:tblW w:w="505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1033"/>
        <w:gridCol w:w="1578"/>
        <w:gridCol w:w="1258"/>
        <w:gridCol w:w="1985"/>
        <w:gridCol w:w="1275"/>
        <w:gridCol w:w="1276"/>
        <w:gridCol w:w="1418"/>
        <w:gridCol w:w="1701"/>
        <w:gridCol w:w="1417"/>
        <w:gridCol w:w="1378"/>
      </w:tblGrid>
      <w:tr w:rsidR="00DA3871" w:rsidRPr="008D71F3">
        <w:trPr>
          <w:trHeight w:val="20"/>
        </w:trPr>
        <w:tc>
          <w:tcPr>
            <w:tcW w:w="389" w:type="dxa"/>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Nr.</w:t>
            </w:r>
          </w:p>
        </w:tc>
        <w:tc>
          <w:tcPr>
            <w:tcW w:w="1033" w:type="dxa"/>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Mokyklos kodas</w:t>
            </w:r>
          </w:p>
        </w:tc>
        <w:tc>
          <w:tcPr>
            <w:tcW w:w="1578" w:type="dxa"/>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Profesinio mokymo teikėjo pavadinimas</w:t>
            </w:r>
          </w:p>
        </w:tc>
        <w:tc>
          <w:tcPr>
            <w:tcW w:w="1258" w:type="dxa"/>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Lėšos mokytojų darbo užmokesčiui</w:t>
            </w:r>
          </w:p>
        </w:tc>
        <w:tc>
          <w:tcPr>
            <w:tcW w:w="1985" w:type="dxa"/>
            <w:vAlign w:val="center"/>
          </w:tcPr>
          <w:p w:rsidR="00DA3871" w:rsidRPr="008D71F3" w:rsidRDefault="008D71F3">
            <w:pPr>
              <w:overflowPunct w:val="0"/>
              <w:jc w:val="center"/>
              <w:textAlignment w:val="baseline"/>
              <w:rPr>
                <w:sz w:val="22"/>
                <w:szCs w:val="22"/>
              </w:rPr>
            </w:pPr>
            <w:r w:rsidRPr="008D71F3">
              <w:rPr>
                <w:sz w:val="22"/>
                <w:szCs w:val="22"/>
              </w:rPr>
              <w:t>Lėšos socialinio draudimo įmokoms, įmokoms į Ilgalaikio darbo išmokų fondą ir Garantinį fondą</w:t>
            </w:r>
          </w:p>
        </w:tc>
        <w:tc>
          <w:tcPr>
            <w:tcW w:w="1275" w:type="dxa"/>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Lėšos ugdymo procesui organizuoti ir valdyti</w:t>
            </w:r>
          </w:p>
        </w:tc>
        <w:tc>
          <w:tcPr>
            <w:tcW w:w="1276" w:type="dxa"/>
            <w:vAlign w:val="center"/>
          </w:tcPr>
          <w:p w:rsidR="00DA3871" w:rsidRPr="008D71F3" w:rsidRDefault="008D71F3">
            <w:pPr>
              <w:overflowPunct w:val="0"/>
              <w:jc w:val="center"/>
              <w:textAlignment w:val="baseline"/>
              <w:rPr>
                <w:sz w:val="22"/>
                <w:szCs w:val="22"/>
              </w:rPr>
            </w:pPr>
            <w:r w:rsidRPr="008D71F3">
              <w:rPr>
                <w:sz w:val="22"/>
                <w:szCs w:val="22"/>
              </w:rPr>
              <w:t>Lėšos švietimo pagalbai</w:t>
            </w:r>
          </w:p>
        </w:tc>
        <w:tc>
          <w:tcPr>
            <w:tcW w:w="1418" w:type="dxa"/>
            <w:vAlign w:val="center"/>
          </w:tcPr>
          <w:p w:rsidR="00DA3871" w:rsidRPr="008D71F3" w:rsidRDefault="008D71F3">
            <w:pPr>
              <w:overflowPunct w:val="0"/>
              <w:jc w:val="center"/>
              <w:textAlignment w:val="baseline"/>
              <w:rPr>
                <w:sz w:val="22"/>
                <w:szCs w:val="22"/>
              </w:rPr>
            </w:pPr>
            <w:r w:rsidRPr="008D71F3">
              <w:rPr>
                <w:sz w:val="22"/>
                <w:szCs w:val="22"/>
              </w:rPr>
              <w:t>Lėšos mokymo priemonėms</w:t>
            </w:r>
          </w:p>
        </w:tc>
        <w:tc>
          <w:tcPr>
            <w:tcW w:w="1701" w:type="dxa"/>
            <w:vAlign w:val="center"/>
          </w:tcPr>
          <w:p w:rsidR="00DA3871" w:rsidRPr="008D71F3" w:rsidRDefault="008D71F3">
            <w:pPr>
              <w:overflowPunct w:val="0"/>
              <w:jc w:val="center"/>
              <w:textAlignment w:val="baseline"/>
              <w:rPr>
                <w:sz w:val="22"/>
                <w:szCs w:val="22"/>
              </w:rPr>
            </w:pPr>
            <w:r w:rsidRPr="008D71F3">
              <w:rPr>
                <w:sz w:val="22"/>
                <w:szCs w:val="22"/>
              </w:rPr>
              <w:t>Lėšos mokytojų ir kitų ugdymo procese dalyvaujančių asmenų kvalifikacijai tobulinti</w:t>
            </w:r>
          </w:p>
        </w:tc>
        <w:tc>
          <w:tcPr>
            <w:tcW w:w="1417" w:type="dxa"/>
            <w:vAlign w:val="center"/>
          </w:tcPr>
          <w:p w:rsidR="00DA3871" w:rsidRPr="008D71F3" w:rsidRDefault="008D71F3">
            <w:pPr>
              <w:overflowPunct w:val="0"/>
              <w:jc w:val="center"/>
              <w:textAlignment w:val="baseline"/>
              <w:rPr>
                <w:sz w:val="22"/>
                <w:szCs w:val="22"/>
              </w:rPr>
            </w:pPr>
            <w:r w:rsidRPr="008D71F3">
              <w:rPr>
                <w:sz w:val="22"/>
                <w:szCs w:val="22"/>
              </w:rPr>
              <w:t>25 proc. padidinimas dėl pameistrystės</w:t>
            </w:r>
          </w:p>
        </w:tc>
        <w:tc>
          <w:tcPr>
            <w:tcW w:w="1378" w:type="dxa"/>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 xml:space="preserve">Profesinio mokymo lėšos iš viso, </w:t>
            </w:r>
            <w:proofErr w:type="spellStart"/>
            <w:r w:rsidRPr="008D71F3">
              <w:rPr>
                <w:sz w:val="22"/>
                <w:szCs w:val="22"/>
              </w:rPr>
              <w:t>Eur</w:t>
            </w:r>
            <w:proofErr w:type="spellEnd"/>
            <w:r w:rsidRPr="008D71F3">
              <w:rPr>
                <w:sz w:val="22"/>
                <w:szCs w:val="22"/>
              </w:rPr>
              <w:t xml:space="preserve"> </w:t>
            </w:r>
          </w:p>
        </w:tc>
      </w:tr>
      <w:tr w:rsidR="00DA3871" w:rsidRPr="008D71F3">
        <w:trPr>
          <w:trHeight w:val="20"/>
        </w:trPr>
        <w:tc>
          <w:tcPr>
            <w:tcW w:w="389" w:type="dxa"/>
            <w:tcMar>
              <w:left w:w="28" w:type="dxa"/>
              <w:right w:w="28" w:type="dxa"/>
            </w:tcMar>
            <w:vAlign w:val="center"/>
          </w:tcPr>
          <w:p w:rsidR="00DA3871" w:rsidRPr="008D71F3" w:rsidRDefault="00DA3871">
            <w:pPr>
              <w:overflowPunct w:val="0"/>
              <w:jc w:val="center"/>
              <w:textAlignment w:val="baseline"/>
              <w:rPr>
                <w:szCs w:val="24"/>
              </w:rPr>
            </w:pPr>
          </w:p>
        </w:tc>
        <w:tc>
          <w:tcPr>
            <w:tcW w:w="1033" w:type="dxa"/>
            <w:tcMar>
              <w:left w:w="28" w:type="dxa"/>
              <w:right w:w="28" w:type="dxa"/>
            </w:tcMar>
            <w:vAlign w:val="center"/>
          </w:tcPr>
          <w:p w:rsidR="00DA3871" w:rsidRPr="008D71F3" w:rsidRDefault="00DA3871">
            <w:pPr>
              <w:overflowPunct w:val="0"/>
              <w:jc w:val="center"/>
              <w:textAlignment w:val="baseline"/>
              <w:rPr>
                <w:szCs w:val="24"/>
              </w:rPr>
            </w:pPr>
          </w:p>
        </w:tc>
        <w:tc>
          <w:tcPr>
            <w:tcW w:w="1578" w:type="dxa"/>
            <w:tcMar>
              <w:left w:w="28" w:type="dxa"/>
              <w:right w:w="28" w:type="dxa"/>
            </w:tcMar>
            <w:vAlign w:val="center"/>
          </w:tcPr>
          <w:p w:rsidR="00DA3871" w:rsidRPr="008D71F3" w:rsidRDefault="00DA3871">
            <w:pPr>
              <w:overflowPunct w:val="0"/>
              <w:jc w:val="center"/>
              <w:textAlignment w:val="baseline"/>
              <w:rPr>
                <w:szCs w:val="24"/>
              </w:rPr>
            </w:pPr>
          </w:p>
        </w:tc>
        <w:tc>
          <w:tcPr>
            <w:tcW w:w="1258" w:type="dxa"/>
            <w:tcMar>
              <w:left w:w="28" w:type="dxa"/>
              <w:right w:w="28" w:type="dxa"/>
            </w:tcMar>
            <w:vAlign w:val="center"/>
          </w:tcPr>
          <w:p w:rsidR="00DA3871" w:rsidRPr="008D71F3" w:rsidRDefault="00DA3871">
            <w:pPr>
              <w:overflowPunct w:val="0"/>
              <w:jc w:val="center"/>
              <w:textAlignment w:val="baseline"/>
              <w:rPr>
                <w:szCs w:val="24"/>
              </w:rPr>
            </w:pPr>
          </w:p>
        </w:tc>
        <w:tc>
          <w:tcPr>
            <w:tcW w:w="1985" w:type="dxa"/>
            <w:vAlign w:val="center"/>
          </w:tcPr>
          <w:p w:rsidR="00DA3871" w:rsidRPr="008D71F3" w:rsidRDefault="00DA3871">
            <w:pPr>
              <w:overflowPunct w:val="0"/>
              <w:jc w:val="center"/>
              <w:textAlignment w:val="baseline"/>
              <w:rPr>
                <w:szCs w:val="24"/>
              </w:rPr>
            </w:pPr>
          </w:p>
        </w:tc>
        <w:tc>
          <w:tcPr>
            <w:tcW w:w="1275" w:type="dxa"/>
            <w:tcMar>
              <w:left w:w="28" w:type="dxa"/>
              <w:right w:w="28" w:type="dxa"/>
            </w:tcMar>
            <w:vAlign w:val="center"/>
          </w:tcPr>
          <w:p w:rsidR="00DA3871" w:rsidRPr="008D71F3" w:rsidRDefault="00DA3871">
            <w:pPr>
              <w:overflowPunct w:val="0"/>
              <w:jc w:val="center"/>
              <w:textAlignment w:val="baseline"/>
              <w:rPr>
                <w:szCs w:val="24"/>
              </w:rPr>
            </w:pPr>
          </w:p>
        </w:tc>
        <w:tc>
          <w:tcPr>
            <w:tcW w:w="1276" w:type="dxa"/>
            <w:vAlign w:val="center"/>
          </w:tcPr>
          <w:p w:rsidR="00DA3871" w:rsidRPr="008D71F3" w:rsidRDefault="00DA3871">
            <w:pPr>
              <w:overflowPunct w:val="0"/>
              <w:jc w:val="center"/>
              <w:textAlignment w:val="baseline"/>
              <w:rPr>
                <w:szCs w:val="24"/>
              </w:rPr>
            </w:pPr>
          </w:p>
        </w:tc>
        <w:tc>
          <w:tcPr>
            <w:tcW w:w="1418" w:type="dxa"/>
            <w:vAlign w:val="center"/>
          </w:tcPr>
          <w:p w:rsidR="00DA3871" w:rsidRPr="008D71F3" w:rsidRDefault="00DA3871">
            <w:pPr>
              <w:overflowPunct w:val="0"/>
              <w:jc w:val="center"/>
              <w:textAlignment w:val="baseline"/>
              <w:rPr>
                <w:szCs w:val="24"/>
              </w:rPr>
            </w:pPr>
          </w:p>
        </w:tc>
        <w:tc>
          <w:tcPr>
            <w:tcW w:w="1701" w:type="dxa"/>
            <w:vAlign w:val="center"/>
          </w:tcPr>
          <w:p w:rsidR="00DA3871" w:rsidRPr="008D71F3" w:rsidRDefault="00DA3871">
            <w:pPr>
              <w:overflowPunct w:val="0"/>
              <w:jc w:val="center"/>
              <w:textAlignment w:val="baseline"/>
              <w:rPr>
                <w:szCs w:val="24"/>
              </w:rPr>
            </w:pPr>
          </w:p>
        </w:tc>
        <w:tc>
          <w:tcPr>
            <w:tcW w:w="1417" w:type="dxa"/>
          </w:tcPr>
          <w:p w:rsidR="00DA3871" w:rsidRPr="008D71F3" w:rsidRDefault="00DA3871">
            <w:pPr>
              <w:overflowPunct w:val="0"/>
              <w:jc w:val="center"/>
              <w:textAlignment w:val="baseline"/>
              <w:rPr>
                <w:szCs w:val="24"/>
              </w:rPr>
            </w:pPr>
          </w:p>
        </w:tc>
        <w:tc>
          <w:tcPr>
            <w:tcW w:w="1378" w:type="dxa"/>
            <w:tcMar>
              <w:left w:w="28" w:type="dxa"/>
              <w:right w:w="28" w:type="dxa"/>
            </w:tcMar>
            <w:vAlign w:val="center"/>
          </w:tcPr>
          <w:p w:rsidR="00DA3871" w:rsidRPr="008D71F3" w:rsidRDefault="00DA3871">
            <w:pPr>
              <w:overflowPunct w:val="0"/>
              <w:jc w:val="center"/>
              <w:textAlignment w:val="baseline"/>
              <w:rPr>
                <w:szCs w:val="24"/>
              </w:rPr>
            </w:pPr>
          </w:p>
        </w:tc>
      </w:tr>
    </w:tbl>
    <w:p w:rsidR="00DA3871" w:rsidRPr="008D71F3" w:rsidRDefault="00DA3871">
      <w:pPr>
        <w:overflowPunct w:val="0"/>
        <w:textAlignment w:val="baseline"/>
        <w:rPr>
          <w:szCs w:val="24"/>
        </w:rPr>
      </w:pPr>
    </w:p>
    <w:p w:rsidR="00DA3871" w:rsidRPr="008D71F3" w:rsidRDefault="00DA3871">
      <w:pPr>
        <w:overflowPunct w:val="0"/>
        <w:textAlignment w:val="baseline"/>
        <w:rPr>
          <w:szCs w:val="24"/>
        </w:rPr>
      </w:pPr>
    </w:p>
    <w:p w:rsidR="00DA3871" w:rsidRPr="008D71F3" w:rsidRDefault="008D71F3">
      <w:pPr>
        <w:overflowPunct w:val="0"/>
        <w:textAlignment w:val="baseline"/>
        <w:rPr>
          <w:szCs w:val="24"/>
        </w:rPr>
      </w:pPr>
      <w:r w:rsidRPr="008D71F3">
        <w:rPr>
          <w:szCs w:val="24"/>
        </w:rPr>
        <w:t>4 lentelė</w:t>
      </w:r>
    </w:p>
    <w:p w:rsidR="00C542E9" w:rsidRDefault="00C542E9">
      <w:pPr>
        <w:overflowPunct w:val="0"/>
        <w:jc w:val="center"/>
        <w:textAlignment w:val="baseline"/>
        <w:rPr>
          <w:szCs w:val="24"/>
        </w:rPr>
      </w:pPr>
    </w:p>
    <w:p w:rsidR="00DA3871" w:rsidRPr="008D71F3" w:rsidRDefault="008D71F3">
      <w:pPr>
        <w:overflowPunct w:val="0"/>
        <w:jc w:val="center"/>
        <w:textAlignment w:val="baseline"/>
        <w:rPr>
          <w:szCs w:val="24"/>
        </w:rPr>
      </w:pPr>
      <w:r w:rsidRPr="008D71F3">
        <w:rPr>
          <w:szCs w:val="24"/>
        </w:rPr>
        <w:t>Pareigybių skaičius _____________ finansiniams metams</w:t>
      </w:r>
    </w:p>
    <w:p w:rsidR="00DA3871" w:rsidRPr="008D71F3" w:rsidRDefault="00DA3871">
      <w:pPr>
        <w:overflowPunct w:val="0"/>
        <w:jc w:val="center"/>
        <w:textAlignment w:val="baseline"/>
        <w:rPr>
          <w:szCs w:val="24"/>
        </w:rPr>
      </w:pPr>
    </w:p>
    <w:p w:rsidR="00DA3871" w:rsidRPr="008D71F3" w:rsidRDefault="00DA3871">
      <w:pPr>
        <w:overflowPunct w:val="0"/>
        <w:textAlignment w:val="baseline"/>
        <w:rPr>
          <w:szCs w:val="24"/>
        </w:rPr>
      </w:pPr>
    </w:p>
    <w:tbl>
      <w:tblPr>
        <w:tblW w:w="1474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49"/>
        <w:gridCol w:w="3443"/>
        <w:gridCol w:w="3544"/>
        <w:gridCol w:w="3118"/>
        <w:gridCol w:w="3261"/>
      </w:tblGrid>
      <w:tr w:rsidR="00DA3871" w:rsidRPr="008D71F3">
        <w:trPr>
          <w:trHeight w:val="20"/>
        </w:trPr>
        <w:tc>
          <w:tcPr>
            <w:tcW w:w="433" w:type="dxa"/>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Nr.</w:t>
            </w:r>
          </w:p>
        </w:tc>
        <w:tc>
          <w:tcPr>
            <w:tcW w:w="949" w:type="dxa"/>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Mokyklos kodas</w:t>
            </w:r>
          </w:p>
        </w:tc>
        <w:tc>
          <w:tcPr>
            <w:tcW w:w="3443" w:type="dxa"/>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Profesinio mokymo teikėjo pavadinimas</w:t>
            </w:r>
          </w:p>
        </w:tc>
        <w:tc>
          <w:tcPr>
            <w:tcW w:w="3544" w:type="dxa"/>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Mokytojų sąlyginių pareigybių skaičius</w:t>
            </w:r>
          </w:p>
        </w:tc>
        <w:tc>
          <w:tcPr>
            <w:tcW w:w="3118" w:type="dxa"/>
            <w:noWrap/>
            <w:tcMar>
              <w:left w:w="28" w:type="dxa"/>
              <w:right w:w="28" w:type="dxa"/>
            </w:tcMar>
            <w:vAlign w:val="center"/>
          </w:tcPr>
          <w:p w:rsidR="00DA3871" w:rsidRPr="008D71F3" w:rsidRDefault="008D71F3">
            <w:pPr>
              <w:overflowPunct w:val="0"/>
              <w:jc w:val="center"/>
              <w:textAlignment w:val="baseline"/>
              <w:rPr>
                <w:sz w:val="22"/>
                <w:szCs w:val="22"/>
              </w:rPr>
            </w:pPr>
            <w:r w:rsidRPr="008D71F3">
              <w:rPr>
                <w:sz w:val="22"/>
                <w:szCs w:val="22"/>
              </w:rPr>
              <w:t>Kontaktinių valandų skaičius</w:t>
            </w:r>
          </w:p>
        </w:tc>
        <w:tc>
          <w:tcPr>
            <w:tcW w:w="3261" w:type="dxa"/>
            <w:vAlign w:val="center"/>
          </w:tcPr>
          <w:p w:rsidR="00DA3871" w:rsidRPr="008D71F3" w:rsidRDefault="008D71F3">
            <w:pPr>
              <w:overflowPunct w:val="0"/>
              <w:jc w:val="center"/>
              <w:textAlignment w:val="baseline"/>
              <w:rPr>
                <w:sz w:val="22"/>
                <w:szCs w:val="22"/>
              </w:rPr>
            </w:pPr>
            <w:r w:rsidRPr="008D71F3">
              <w:rPr>
                <w:sz w:val="22"/>
                <w:szCs w:val="22"/>
              </w:rPr>
              <w:t xml:space="preserve">Lėšos mokytojų darbo užmokesčiui, </w:t>
            </w:r>
            <w:proofErr w:type="spellStart"/>
            <w:r w:rsidRPr="008D71F3">
              <w:rPr>
                <w:sz w:val="22"/>
                <w:szCs w:val="22"/>
              </w:rPr>
              <w:t>Eur</w:t>
            </w:r>
            <w:proofErr w:type="spellEnd"/>
          </w:p>
        </w:tc>
      </w:tr>
      <w:tr w:rsidR="00DA3871" w:rsidRPr="008D71F3">
        <w:trPr>
          <w:trHeight w:val="20"/>
        </w:trPr>
        <w:tc>
          <w:tcPr>
            <w:tcW w:w="433" w:type="dxa"/>
            <w:tcMar>
              <w:left w:w="28" w:type="dxa"/>
              <w:right w:w="28" w:type="dxa"/>
            </w:tcMar>
            <w:vAlign w:val="center"/>
          </w:tcPr>
          <w:p w:rsidR="00DA3871" w:rsidRPr="008D71F3" w:rsidRDefault="00DA3871">
            <w:pPr>
              <w:overflowPunct w:val="0"/>
              <w:jc w:val="center"/>
              <w:textAlignment w:val="baseline"/>
              <w:rPr>
                <w:szCs w:val="24"/>
              </w:rPr>
            </w:pPr>
          </w:p>
        </w:tc>
        <w:tc>
          <w:tcPr>
            <w:tcW w:w="949" w:type="dxa"/>
            <w:tcMar>
              <w:left w:w="28" w:type="dxa"/>
              <w:right w:w="28" w:type="dxa"/>
            </w:tcMar>
            <w:vAlign w:val="center"/>
          </w:tcPr>
          <w:p w:rsidR="00DA3871" w:rsidRPr="008D71F3" w:rsidRDefault="00DA3871">
            <w:pPr>
              <w:overflowPunct w:val="0"/>
              <w:jc w:val="center"/>
              <w:textAlignment w:val="baseline"/>
              <w:rPr>
                <w:szCs w:val="24"/>
              </w:rPr>
            </w:pPr>
          </w:p>
        </w:tc>
        <w:tc>
          <w:tcPr>
            <w:tcW w:w="3443" w:type="dxa"/>
            <w:tcMar>
              <w:left w:w="28" w:type="dxa"/>
              <w:right w:w="28" w:type="dxa"/>
            </w:tcMar>
            <w:vAlign w:val="center"/>
          </w:tcPr>
          <w:p w:rsidR="00DA3871" w:rsidRPr="008D71F3" w:rsidRDefault="00DA3871">
            <w:pPr>
              <w:overflowPunct w:val="0"/>
              <w:jc w:val="center"/>
              <w:textAlignment w:val="baseline"/>
              <w:rPr>
                <w:szCs w:val="24"/>
              </w:rPr>
            </w:pPr>
          </w:p>
        </w:tc>
        <w:tc>
          <w:tcPr>
            <w:tcW w:w="3544" w:type="dxa"/>
            <w:tcMar>
              <w:left w:w="28" w:type="dxa"/>
              <w:right w:w="28" w:type="dxa"/>
            </w:tcMar>
            <w:vAlign w:val="center"/>
          </w:tcPr>
          <w:p w:rsidR="00DA3871" w:rsidRPr="008D71F3" w:rsidRDefault="00DA3871">
            <w:pPr>
              <w:overflowPunct w:val="0"/>
              <w:jc w:val="center"/>
              <w:textAlignment w:val="baseline"/>
              <w:rPr>
                <w:szCs w:val="24"/>
              </w:rPr>
            </w:pPr>
          </w:p>
        </w:tc>
        <w:tc>
          <w:tcPr>
            <w:tcW w:w="3118" w:type="dxa"/>
            <w:tcMar>
              <w:left w:w="28" w:type="dxa"/>
              <w:right w:w="28" w:type="dxa"/>
            </w:tcMar>
            <w:vAlign w:val="center"/>
          </w:tcPr>
          <w:p w:rsidR="00DA3871" w:rsidRPr="008D71F3" w:rsidRDefault="00DA3871">
            <w:pPr>
              <w:overflowPunct w:val="0"/>
              <w:jc w:val="center"/>
              <w:textAlignment w:val="baseline"/>
              <w:rPr>
                <w:szCs w:val="24"/>
              </w:rPr>
            </w:pPr>
          </w:p>
        </w:tc>
        <w:tc>
          <w:tcPr>
            <w:tcW w:w="3261" w:type="dxa"/>
            <w:vAlign w:val="center"/>
          </w:tcPr>
          <w:p w:rsidR="00DA3871" w:rsidRPr="008D71F3" w:rsidRDefault="00DA3871">
            <w:pPr>
              <w:overflowPunct w:val="0"/>
              <w:jc w:val="center"/>
              <w:textAlignment w:val="baseline"/>
              <w:rPr>
                <w:szCs w:val="24"/>
              </w:rPr>
            </w:pPr>
          </w:p>
        </w:tc>
      </w:tr>
      <w:tr w:rsidR="00DA3871" w:rsidRPr="008D71F3">
        <w:trPr>
          <w:trHeight w:val="20"/>
        </w:trPr>
        <w:tc>
          <w:tcPr>
            <w:tcW w:w="433" w:type="dxa"/>
            <w:tcMar>
              <w:left w:w="28" w:type="dxa"/>
              <w:right w:w="28" w:type="dxa"/>
            </w:tcMar>
            <w:vAlign w:val="center"/>
          </w:tcPr>
          <w:p w:rsidR="00DA3871" w:rsidRPr="008D71F3" w:rsidRDefault="00DA3871">
            <w:pPr>
              <w:overflowPunct w:val="0"/>
              <w:jc w:val="center"/>
              <w:textAlignment w:val="baseline"/>
              <w:rPr>
                <w:szCs w:val="24"/>
              </w:rPr>
            </w:pPr>
          </w:p>
        </w:tc>
        <w:tc>
          <w:tcPr>
            <w:tcW w:w="949" w:type="dxa"/>
            <w:tcMar>
              <w:left w:w="28" w:type="dxa"/>
              <w:right w:w="28" w:type="dxa"/>
            </w:tcMar>
            <w:vAlign w:val="center"/>
          </w:tcPr>
          <w:p w:rsidR="00DA3871" w:rsidRPr="008D71F3" w:rsidRDefault="00DA3871">
            <w:pPr>
              <w:overflowPunct w:val="0"/>
              <w:jc w:val="center"/>
              <w:textAlignment w:val="baseline"/>
              <w:rPr>
                <w:szCs w:val="24"/>
              </w:rPr>
            </w:pPr>
          </w:p>
        </w:tc>
        <w:tc>
          <w:tcPr>
            <w:tcW w:w="3443" w:type="dxa"/>
            <w:tcMar>
              <w:left w:w="28" w:type="dxa"/>
              <w:right w:w="28" w:type="dxa"/>
            </w:tcMar>
            <w:vAlign w:val="center"/>
          </w:tcPr>
          <w:p w:rsidR="00DA3871" w:rsidRPr="008D71F3" w:rsidRDefault="00DA3871">
            <w:pPr>
              <w:overflowPunct w:val="0"/>
              <w:jc w:val="center"/>
              <w:textAlignment w:val="baseline"/>
              <w:rPr>
                <w:szCs w:val="24"/>
              </w:rPr>
            </w:pPr>
          </w:p>
        </w:tc>
        <w:tc>
          <w:tcPr>
            <w:tcW w:w="3544" w:type="dxa"/>
            <w:tcMar>
              <w:left w:w="28" w:type="dxa"/>
              <w:right w:w="28" w:type="dxa"/>
            </w:tcMar>
            <w:vAlign w:val="center"/>
          </w:tcPr>
          <w:p w:rsidR="00DA3871" w:rsidRPr="008D71F3" w:rsidRDefault="00DA3871">
            <w:pPr>
              <w:overflowPunct w:val="0"/>
              <w:jc w:val="center"/>
              <w:textAlignment w:val="baseline"/>
              <w:rPr>
                <w:szCs w:val="24"/>
              </w:rPr>
            </w:pPr>
          </w:p>
        </w:tc>
        <w:tc>
          <w:tcPr>
            <w:tcW w:w="3118" w:type="dxa"/>
            <w:tcMar>
              <w:left w:w="28" w:type="dxa"/>
              <w:right w:w="28" w:type="dxa"/>
            </w:tcMar>
            <w:vAlign w:val="center"/>
          </w:tcPr>
          <w:p w:rsidR="00DA3871" w:rsidRPr="008D71F3" w:rsidRDefault="00DA3871">
            <w:pPr>
              <w:overflowPunct w:val="0"/>
              <w:jc w:val="center"/>
              <w:textAlignment w:val="baseline"/>
              <w:rPr>
                <w:szCs w:val="24"/>
              </w:rPr>
            </w:pPr>
          </w:p>
        </w:tc>
        <w:tc>
          <w:tcPr>
            <w:tcW w:w="3261" w:type="dxa"/>
            <w:vAlign w:val="center"/>
          </w:tcPr>
          <w:p w:rsidR="00DA3871" w:rsidRPr="008D71F3" w:rsidRDefault="00DA3871">
            <w:pPr>
              <w:overflowPunct w:val="0"/>
              <w:jc w:val="center"/>
              <w:textAlignment w:val="baseline"/>
              <w:rPr>
                <w:szCs w:val="24"/>
              </w:rPr>
            </w:pPr>
          </w:p>
        </w:tc>
      </w:tr>
    </w:tbl>
    <w:p w:rsidR="00DA3871" w:rsidRPr="008D71F3" w:rsidRDefault="00DA3871">
      <w:pPr>
        <w:overflowPunct w:val="0"/>
        <w:textAlignment w:val="baseline"/>
        <w:rPr>
          <w:szCs w:val="24"/>
        </w:rPr>
      </w:pPr>
    </w:p>
    <w:p w:rsidR="00DA3871" w:rsidRPr="008D71F3" w:rsidRDefault="00DA3871">
      <w:pPr>
        <w:overflowPunct w:val="0"/>
        <w:textAlignment w:val="baseline"/>
        <w:rPr>
          <w:szCs w:val="24"/>
        </w:rPr>
      </w:pPr>
    </w:p>
    <w:p w:rsidR="00DA3871" w:rsidRPr="008D71F3" w:rsidRDefault="008D71F3">
      <w:pPr>
        <w:tabs>
          <w:tab w:val="num" w:pos="0"/>
          <w:tab w:val="center" w:pos="7700"/>
          <w:tab w:val="center" w:pos="11600"/>
        </w:tabs>
        <w:overflowPunct w:val="0"/>
        <w:textAlignment w:val="baseline"/>
        <w:rPr>
          <w:szCs w:val="24"/>
        </w:rPr>
      </w:pPr>
      <w:r w:rsidRPr="008D71F3">
        <w:rPr>
          <w:szCs w:val="24"/>
        </w:rPr>
        <w:t>_________________________________________</w:t>
      </w:r>
      <w:r w:rsidRPr="008D71F3">
        <w:rPr>
          <w:szCs w:val="24"/>
        </w:rPr>
        <w:tab/>
        <w:t>____________</w:t>
      </w:r>
      <w:r w:rsidRPr="008D71F3">
        <w:rPr>
          <w:szCs w:val="24"/>
        </w:rPr>
        <w:tab/>
        <w:t>_____________</w:t>
      </w:r>
    </w:p>
    <w:p w:rsidR="00DA3871" w:rsidRPr="008D71F3" w:rsidRDefault="008D71F3" w:rsidP="001A2D75">
      <w:pPr>
        <w:tabs>
          <w:tab w:val="center" w:pos="0"/>
          <w:tab w:val="left" w:pos="7088"/>
          <w:tab w:val="left" w:pos="10773"/>
        </w:tabs>
        <w:overflowPunct w:val="0"/>
        <w:textAlignment w:val="baseline"/>
        <w:rPr>
          <w:sz w:val="20"/>
        </w:rPr>
      </w:pPr>
      <w:r w:rsidRPr="008D71F3">
        <w:rPr>
          <w:sz w:val="20"/>
        </w:rPr>
        <w:t>(profesinio mokymo teikėjo vadovas)</w:t>
      </w:r>
      <w:r w:rsidRPr="008D71F3">
        <w:rPr>
          <w:sz w:val="20"/>
        </w:rPr>
        <w:tab/>
        <w:t>(parašas)</w:t>
      </w:r>
      <w:r w:rsidRPr="008D71F3">
        <w:rPr>
          <w:sz w:val="20"/>
        </w:rPr>
        <w:tab/>
        <w:t>(vardas, pavardė)</w:t>
      </w:r>
    </w:p>
    <w:p w:rsidR="00DA3871" w:rsidRPr="008D71F3" w:rsidRDefault="00DA3871">
      <w:pPr>
        <w:overflowPunct w:val="0"/>
        <w:textAlignment w:val="baseline"/>
        <w:rPr>
          <w:sz w:val="20"/>
        </w:rPr>
      </w:pPr>
    </w:p>
    <w:p w:rsidR="00DA3871" w:rsidRPr="008D71F3" w:rsidRDefault="00DA3871">
      <w:pPr>
        <w:overflowPunct w:val="0"/>
        <w:textAlignment w:val="baseline"/>
        <w:rPr>
          <w:szCs w:val="24"/>
        </w:rPr>
      </w:pPr>
    </w:p>
    <w:p w:rsidR="00DA3871" w:rsidRPr="008D71F3" w:rsidRDefault="008D71F3">
      <w:pPr>
        <w:tabs>
          <w:tab w:val="num" w:pos="0"/>
          <w:tab w:val="center" w:pos="7700"/>
          <w:tab w:val="center" w:pos="11600"/>
        </w:tabs>
        <w:overflowPunct w:val="0"/>
        <w:textAlignment w:val="baseline"/>
        <w:rPr>
          <w:szCs w:val="24"/>
        </w:rPr>
      </w:pPr>
      <w:r w:rsidRPr="008D71F3">
        <w:rPr>
          <w:szCs w:val="24"/>
        </w:rPr>
        <w:t>_________________________________________</w:t>
      </w:r>
      <w:r w:rsidRPr="008D71F3">
        <w:rPr>
          <w:szCs w:val="24"/>
        </w:rPr>
        <w:tab/>
        <w:t>____________</w:t>
      </w:r>
      <w:r w:rsidRPr="008D71F3">
        <w:rPr>
          <w:szCs w:val="24"/>
        </w:rPr>
        <w:tab/>
        <w:t>_____________</w:t>
      </w:r>
    </w:p>
    <w:p w:rsidR="00DA3871" w:rsidRPr="008D71F3" w:rsidRDefault="008D71F3" w:rsidP="001A2D75">
      <w:pPr>
        <w:tabs>
          <w:tab w:val="center" w:pos="0"/>
          <w:tab w:val="left" w:pos="7088"/>
          <w:tab w:val="left" w:pos="10773"/>
        </w:tabs>
        <w:overflowPunct w:val="0"/>
        <w:textAlignment w:val="baseline"/>
        <w:rPr>
          <w:sz w:val="20"/>
        </w:rPr>
      </w:pPr>
      <w:r w:rsidRPr="008D71F3">
        <w:rPr>
          <w:sz w:val="20"/>
        </w:rPr>
        <w:t>(atsakingo darbuotojo, pateikusio duomenis,</w:t>
      </w:r>
      <w:r w:rsidR="004D6501">
        <w:rPr>
          <w:sz w:val="20"/>
        </w:rPr>
        <w:tab/>
      </w:r>
      <w:r w:rsidRPr="008D71F3">
        <w:rPr>
          <w:sz w:val="20"/>
        </w:rPr>
        <w:t>(parašas)</w:t>
      </w:r>
      <w:r w:rsidRPr="008D71F3">
        <w:rPr>
          <w:sz w:val="20"/>
        </w:rPr>
        <w:tab/>
        <w:t>(data)</w:t>
      </w:r>
    </w:p>
    <w:p w:rsidR="00DA3871" w:rsidRPr="008D71F3" w:rsidRDefault="008D71F3">
      <w:pPr>
        <w:tabs>
          <w:tab w:val="num" w:pos="0"/>
        </w:tabs>
        <w:overflowPunct w:val="0"/>
        <w:textAlignment w:val="baseline"/>
        <w:rPr>
          <w:sz w:val="20"/>
        </w:rPr>
      </w:pPr>
      <w:r w:rsidRPr="008D71F3">
        <w:rPr>
          <w:sz w:val="20"/>
        </w:rPr>
        <w:t>pareigos, vardas, pavardė ir tel. Nr.)</w:t>
      </w:r>
    </w:p>
    <w:p w:rsidR="00DA3871" w:rsidRPr="008D71F3" w:rsidRDefault="008D71F3">
      <w:pPr>
        <w:tabs>
          <w:tab w:val="num" w:pos="0"/>
        </w:tabs>
        <w:overflowPunct w:val="0"/>
        <w:jc w:val="center"/>
        <w:textAlignment w:val="baseline"/>
        <w:rPr>
          <w:szCs w:val="24"/>
        </w:rPr>
      </w:pPr>
      <w:r w:rsidRPr="008D71F3">
        <w:rPr>
          <w:szCs w:val="24"/>
        </w:rPr>
        <w:t>______________________</w:t>
      </w:r>
    </w:p>
    <w:p w:rsidR="00DA3871" w:rsidRDefault="00DA3871">
      <w:pPr>
        <w:overflowPunct w:val="0"/>
        <w:jc w:val="both"/>
        <w:textAlignment w:val="baseline"/>
      </w:pPr>
    </w:p>
    <w:p w:rsidR="00C542E9" w:rsidRPr="008D71F3" w:rsidRDefault="00C542E9">
      <w:pPr>
        <w:overflowPunct w:val="0"/>
        <w:jc w:val="both"/>
        <w:textAlignment w:val="baseline"/>
      </w:pPr>
    </w:p>
    <w:sectPr w:rsidR="00C542E9" w:rsidRPr="008D71F3">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567"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E7" w:rsidRDefault="00EE4AE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EE4AE7" w:rsidRDefault="00EE4AE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8D71F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DA3871" w:rsidRDefault="00DA387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DA3871">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DA3871">
    <w:pPr>
      <w:tabs>
        <w:tab w:val="center" w:pos="4153"/>
        <w:tab w:val="right" w:pos="8306"/>
      </w:tabs>
      <w:overflowPunct w:val="0"/>
      <w:textAlignment w:val="baseline"/>
      <w:rPr>
        <w:rFonts w:ascii="HelveticaLT" w:hAnsi="HelveticaLT"/>
        <w:sz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DA3871">
    <w:pPr>
      <w:tabs>
        <w:tab w:val="center" w:pos="4819"/>
        <w:tab w:val="right" w:pos="9638"/>
      </w:tabs>
      <w:overflowPunct w:val="0"/>
      <w:textAlignment w:val="baseline"/>
      <w:rPr>
        <w:rFonts w:ascii="HelveticaLT" w:hAnsi="HelveticaLT"/>
        <w:sz w:val="20"/>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DA3871">
    <w:pPr>
      <w:tabs>
        <w:tab w:val="center" w:pos="4819"/>
        <w:tab w:val="right" w:pos="9638"/>
      </w:tabs>
      <w:overflowPunct w:val="0"/>
      <w:textAlignment w:val="baseline"/>
      <w:rPr>
        <w:rFonts w:ascii="HelveticaLT" w:hAnsi="HelveticaLT"/>
        <w:sz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DA3871">
    <w:pPr>
      <w:tabs>
        <w:tab w:val="center" w:pos="4819"/>
        <w:tab w:val="right" w:pos="9638"/>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E7" w:rsidRDefault="00EE4AE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EE4AE7" w:rsidRDefault="00EE4AE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DA3871">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8D71F3">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t>2</w:t>
    </w:r>
  </w:p>
  <w:p w:rsidR="00DA3871" w:rsidRDefault="00DA3871">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DA3871">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DA3871">
    <w:pPr>
      <w:tabs>
        <w:tab w:val="center" w:pos="4153"/>
        <w:tab w:val="right" w:pos="8306"/>
      </w:tabs>
      <w:overflowPunct w:val="0"/>
      <w:textAlignment w:val="baseline"/>
      <w:rPr>
        <w:rFonts w:ascii="HelveticaLT" w:hAnsi="HelveticaLT"/>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8D71F3">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t>2</w:t>
    </w:r>
  </w:p>
  <w:p w:rsidR="00DA3871" w:rsidRDefault="00DA3871">
    <w:pPr>
      <w:tabs>
        <w:tab w:val="center" w:pos="4153"/>
        <w:tab w:val="right" w:pos="8306"/>
      </w:tabs>
      <w:overflowPunct w:val="0"/>
      <w:textAlignment w:val="baseline"/>
      <w:rPr>
        <w:rFonts w:ascii="HelveticaLT" w:hAnsi="HelveticaLT"/>
        <w:sz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71" w:rsidRDefault="00DA387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8D"/>
    <w:rsid w:val="001A2D75"/>
    <w:rsid w:val="002A4036"/>
    <w:rsid w:val="004D6501"/>
    <w:rsid w:val="006D6CFC"/>
    <w:rsid w:val="007A122A"/>
    <w:rsid w:val="007B0E4E"/>
    <w:rsid w:val="008D71F3"/>
    <w:rsid w:val="00C542E9"/>
    <w:rsid w:val="00D40C8D"/>
    <w:rsid w:val="00DA3871"/>
    <w:rsid w:val="00EE4A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61612BEF"/>
  <w15:docId w15:val="{6F0AFE86-A023-41A9-A331-115C938A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D71F3"/>
    <w:rPr>
      <w:color w:val="808080"/>
    </w:rPr>
  </w:style>
  <w:style w:type="paragraph" w:styleId="Debesliotekstas">
    <w:name w:val="Balloon Text"/>
    <w:basedOn w:val="prastasis"/>
    <w:link w:val="DebesliotekstasDiagrama"/>
    <w:semiHidden/>
    <w:unhideWhenUsed/>
    <w:rsid w:val="00C542E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5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B13C-36BE-443E-BB2E-00FA40E07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46DDCE-0F93-4661-A71A-027C9F45C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731B35-CD16-4F48-B7B3-2470D313DB7F}">
  <ds:schemaRefs>
    <ds:schemaRef ds:uri="http://schemas.microsoft.com/sharepoint/v3/contenttype/forms"/>
  </ds:schemaRefs>
</ds:datastoreItem>
</file>

<file path=customXml/itemProps4.xml><?xml version="1.0" encoding="utf-8"?>
<ds:datastoreItem xmlns:ds="http://schemas.openxmlformats.org/officeDocument/2006/customXml" ds:itemID="{A3B4DD07-4979-41A0-AD80-433CF023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5787</Words>
  <Characters>3299</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b0950208-0367-46d2-b1d2-f0f7ad267639</vt:lpstr>
      <vt:lpstr> </vt:lpstr>
    </vt:vector>
  </TitlesOfParts>
  <Company>VKS</Company>
  <LinksUpToDate>false</LinksUpToDate>
  <CharactersWithSpaces>9068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b0950208-0367-46d2-b1d2-f0f7ad267639</dc:title>
  <dc:creator>Markelienė Kristina</dc:creator>
  <cp:lastModifiedBy>Markelienė Kristina</cp:lastModifiedBy>
  <cp:revision>2</cp:revision>
  <cp:lastPrinted>2019-09-02T06:14:00Z</cp:lastPrinted>
  <dcterms:created xsi:type="dcterms:W3CDTF">2019-09-02T05:53:00Z</dcterms:created>
  <dcterms:modified xsi:type="dcterms:W3CDTF">2019-09-02T05:53:00Z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